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4E663" w14:textId="77777777" w:rsidR="006E4EB8" w:rsidRPr="002109BF" w:rsidRDefault="006E4EB8" w:rsidP="00F367C9">
      <w:pPr>
        <w:spacing w:line="312" w:lineRule="auto"/>
        <w:ind w:left="142"/>
        <w:rPr>
          <w:rFonts w:ascii="Times New Roman" w:hAnsi="Times New Roman" w:cs="Times New Roman"/>
          <w:color w:val="2E74B5" w:themeColor="accent1" w:themeShade="BF"/>
          <w:sz w:val="28"/>
          <w:szCs w:val="28"/>
        </w:rPr>
      </w:pPr>
    </w:p>
    <w:p w14:paraId="30C736D6" w14:textId="5AE8AC7A" w:rsidR="00341D33" w:rsidRDefault="00845823" w:rsidP="00F44333">
      <w:pPr>
        <w:spacing w:line="312" w:lineRule="auto"/>
        <w:rPr>
          <w:rFonts w:ascii="Times New Roman" w:hAnsi="Times New Roman" w:cs="Times New Roman"/>
          <w:b/>
          <w:color w:val="2E74B5" w:themeColor="accent1" w:themeShade="BF"/>
          <w:sz w:val="28"/>
          <w:szCs w:val="28"/>
        </w:rPr>
      </w:pPr>
      <w:r>
        <w:rPr>
          <w:rFonts w:ascii="Times New Roman" w:hAnsi="Times New Roman" w:cs="Times New Roman"/>
          <w:b/>
          <w:color w:val="2E74B5" w:themeColor="accent1" w:themeShade="BF"/>
          <w:sz w:val="28"/>
          <w:szCs w:val="28"/>
        </w:rPr>
        <w:t>Rappor</w:t>
      </w:r>
      <w:r w:rsidR="00375865">
        <w:rPr>
          <w:rFonts w:ascii="Times New Roman" w:hAnsi="Times New Roman" w:cs="Times New Roman"/>
          <w:b/>
          <w:color w:val="2E74B5" w:themeColor="accent1" w:themeShade="BF"/>
          <w:sz w:val="28"/>
          <w:szCs w:val="28"/>
        </w:rPr>
        <w:t>t</w:t>
      </w:r>
      <w:r>
        <w:rPr>
          <w:rFonts w:ascii="Times New Roman" w:hAnsi="Times New Roman" w:cs="Times New Roman"/>
          <w:b/>
          <w:color w:val="2E74B5" w:themeColor="accent1" w:themeShade="BF"/>
          <w:sz w:val="28"/>
          <w:szCs w:val="28"/>
        </w:rPr>
        <w:t xml:space="preserve">o </w:t>
      </w:r>
      <w:proofErr w:type="spellStart"/>
      <w:r w:rsidR="00050088">
        <w:rPr>
          <w:rFonts w:ascii="Times New Roman" w:hAnsi="Times New Roman" w:cs="Times New Roman"/>
          <w:b/>
          <w:color w:val="2E74B5" w:themeColor="accent1" w:themeShade="BF"/>
          <w:sz w:val="28"/>
          <w:szCs w:val="28"/>
        </w:rPr>
        <w:t>Scoreboard</w:t>
      </w:r>
      <w:proofErr w:type="spellEnd"/>
      <w:r w:rsidR="00050088">
        <w:rPr>
          <w:rFonts w:ascii="Times New Roman" w:hAnsi="Times New Roman" w:cs="Times New Roman"/>
          <w:b/>
          <w:color w:val="2E74B5" w:themeColor="accent1" w:themeShade="BF"/>
          <w:sz w:val="28"/>
          <w:szCs w:val="28"/>
        </w:rPr>
        <w:t xml:space="preserve"> 2022</w:t>
      </w:r>
    </w:p>
    <w:p w14:paraId="563FDC6F" w14:textId="42B30696" w:rsidR="00504051" w:rsidRDefault="007332B2" w:rsidP="00653586">
      <w:pPr>
        <w:pStyle w:val="Paragrafoelenco"/>
        <w:numPr>
          <w:ilvl w:val="0"/>
          <w:numId w:val="16"/>
        </w:numPr>
        <w:spacing w:after="240" w:line="312" w:lineRule="auto"/>
        <w:ind w:left="714" w:hanging="357"/>
        <w:jc w:val="both"/>
      </w:pPr>
      <w:r>
        <w:t xml:space="preserve">In data odierna è stato pubblicato il </w:t>
      </w:r>
      <w:r w:rsidRPr="00504051">
        <w:rPr>
          <w:b/>
        </w:rPr>
        <w:t xml:space="preserve">EU Justice </w:t>
      </w:r>
      <w:proofErr w:type="spellStart"/>
      <w:r w:rsidRPr="00504051">
        <w:rPr>
          <w:b/>
        </w:rPr>
        <w:t>Scoreboard</w:t>
      </w:r>
      <w:proofErr w:type="spellEnd"/>
      <w:r w:rsidRPr="00504051">
        <w:rPr>
          <w:b/>
        </w:rPr>
        <w:t>- 202</w:t>
      </w:r>
      <w:r w:rsidR="00050088">
        <w:rPr>
          <w:b/>
        </w:rPr>
        <w:t>2</w:t>
      </w:r>
      <w:r w:rsidRPr="00504051">
        <w:rPr>
          <w:b/>
        </w:rPr>
        <w:t xml:space="preserve"> </w:t>
      </w:r>
      <w:proofErr w:type="spellStart"/>
      <w:r w:rsidRPr="00504051">
        <w:rPr>
          <w:b/>
        </w:rPr>
        <w:t>cycle</w:t>
      </w:r>
      <w:proofErr w:type="spellEnd"/>
      <w:r w:rsidRPr="00504051">
        <w:rPr>
          <w:b/>
        </w:rPr>
        <w:t xml:space="preserve"> </w:t>
      </w:r>
      <w:r>
        <w:t>(</w:t>
      </w:r>
      <w:r w:rsidRPr="00504051">
        <w:rPr>
          <w:u w:val="single"/>
        </w:rPr>
        <w:t>annualità di riferimento 20</w:t>
      </w:r>
      <w:r w:rsidR="00050088">
        <w:rPr>
          <w:u w:val="single"/>
        </w:rPr>
        <w:t>20</w:t>
      </w:r>
      <w:r>
        <w:t>). Il Rapporto confronta il funzionamento dei sistemi giudiziari nei vari Paesi Membri dell’Unione, lungo tre dimensioni: efficienza qualità e indipendenza</w:t>
      </w:r>
      <w:r w:rsidR="00504051">
        <w:t xml:space="preserve">. </w:t>
      </w:r>
    </w:p>
    <w:p w14:paraId="0FA308A7" w14:textId="77777777" w:rsidR="00504051" w:rsidRPr="00C3758A" w:rsidRDefault="00504051" w:rsidP="00504051">
      <w:pPr>
        <w:pStyle w:val="Paragrafoelenco"/>
        <w:spacing w:after="240" w:line="312" w:lineRule="auto"/>
        <w:ind w:left="714"/>
        <w:jc w:val="both"/>
      </w:pPr>
    </w:p>
    <w:p w14:paraId="1D2208FF" w14:textId="77777777" w:rsidR="0078234C" w:rsidRPr="00C3758A" w:rsidRDefault="0078234C" w:rsidP="0078234C">
      <w:pPr>
        <w:pStyle w:val="Paragrafoelenco"/>
        <w:numPr>
          <w:ilvl w:val="0"/>
          <w:numId w:val="10"/>
        </w:numPr>
        <w:spacing w:after="240" w:line="312" w:lineRule="auto"/>
        <w:jc w:val="both"/>
      </w:pPr>
      <w:r w:rsidRPr="00C3758A">
        <w:t xml:space="preserve">Il rapporto di quest’anno mostra chiaramente che l'efficacia dei sistemi giudiziari dell'UE continua a migliorare nella maggior parte degli Stati membri, anche a fronte delle difficili circostanze degli ultimi anni. Allo stesso tempo, permangono criticità in alcuni Paesi che devono ancora affrontare sfide importanti per garantire la piena fiducia dei cittadini nei propri sistemi giudiziari nazionali, soprattutto laddove lo status, la posizione e, in definitiva, l'indipendenza dei giudici sono a rischio. </w:t>
      </w:r>
    </w:p>
    <w:p w14:paraId="39FF86C2" w14:textId="77777777" w:rsidR="00504051" w:rsidRDefault="00504051" w:rsidP="007332B2">
      <w:pPr>
        <w:pStyle w:val="Paragrafoelenco"/>
        <w:spacing w:after="240" w:line="312" w:lineRule="auto"/>
        <w:ind w:left="714"/>
        <w:jc w:val="both"/>
      </w:pPr>
    </w:p>
    <w:p w14:paraId="35C4C86C" w14:textId="387C016A" w:rsidR="007332B2" w:rsidRDefault="007332B2" w:rsidP="00504051">
      <w:pPr>
        <w:pStyle w:val="Paragrafoelenco"/>
        <w:numPr>
          <w:ilvl w:val="0"/>
          <w:numId w:val="16"/>
        </w:numPr>
        <w:spacing w:after="240" w:line="312" w:lineRule="auto"/>
        <w:jc w:val="both"/>
      </w:pPr>
      <w:r>
        <w:t>Di seguito si segnalano le principali evidenze</w:t>
      </w:r>
      <w:r w:rsidR="00504051">
        <w:t xml:space="preserve"> in tema di efficienza e digitalizzazione </w:t>
      </w:r>
      <w:r>
        <w:t>emerse dal Rapporto con riguardo al nostro Paese, anche nel confronto con il Rapporto precedente riferito all’anno 201</w:t>
      </w:r>
      <w:r w:rsidR="00050088">
        <w:t>9</w:t>
      </w:r>
      <w:r>
        <w:t>.</w:t>
      </w:r>
    </w:p>
    <w:p w14:paraId="7D0213EF" w14:textId="77777777" w:rsidR="00504051" w:rsidRDefault="00504051" w:rsidP="00504051">
      <w:pPr>
        <w:pStyle w:val="Paragrafoelenco"/>
        <w:spacing w:after="240" w:line="312" w:lineRule="auto"/>
        <w:jc w:val="both"/>
      </w:pPr>
    </w:p>
    <w:p w14:paraId="060E1A1D" w14:textId="447F1CD2" w:rsidR="00F44333" w:rsidRDefault="00F44333" w:rsidP="007332B2">
      <w:pPr>
        <w:pStyle w:val="Paragrafoelenco"/>
        <w:numPr>
          <w:ilvl w:val="0"/>
          <w:numId w:val="17"/>
        </w:numPr>
        <w:spacing w:line="312" w:lineRule="auto"/>
        <w:jc w:val="both"/>
        <w:rPr>
          <w:b/>
        </w:rPr>
      </w:pPr>
      <w:r w:rsidRPr="007332B2">
        <w:rPr>
          <w:b/>
        </w:rPr>
        <w:t>Efficienza (durata dei procedimenti, p</w:t>
      </w:r>
      <w:r w:rsidR="00A46F71">
        <w:rPr>
          <w:b/>
        </w:rPr>
        <w:t>endenza, clearance rate</w:t>
      </w:r>
      <w:r w:rsidRPr="007332B2">
        <w:rPr>
          <w:b/>
        </w:rPr>
        <w:t>)</w:t>
      </w:r>
    </w:p>
    <w:p w14:paraId="3B725259" w14:textId="77777777" w:rsidR="007332B2" w:rsidRPr="007332B2" w:rsidRDefault="007332B2" w:rsidP="007332B2">
      <w:pPr>
        <w:pStyle w:val="Paragrafoelenco"/>
        <w:spacing w:line="312" w:lineRule="auto"/>
        <w:jc w:val="both"/>
        <w:rPr>
          <w:b/>
        </w:rPr>
      </w:pPr>
    </w:p>
    <w:p w14:paraId="5C06FC21" w14:textId="2219E98E" w:rsidR="0078234C" w:rsidRPr="00C3758A" w:rsidRDefault="00D24C52" w:rsidP="0078234C">
      <w:pPr>
        <w:pStyle w:val="Paragrafoelenco"/>
        <w:numPr>
          <w:ilvl w:val="0"/>
          <w:numId w:val="10"/>
        </w:numPr>
        <w:spacing w:line="312" w:lineRule="auto"/>
        <w:jc w:val="both"/>
      </w:pPr>
      <w:r w:rsidRPr="00C3758A">
        <w:t>Il numero di procedimenti contenziosi iscritti in primo grado (</w:t>
      </w:r>
      <w:proofErr w:type="spellStart"/>
      <w:r w:rsidRPr="00C3758A">
        <w:t>cfr</w:t>
      </w:r>
      <w:proofErr w:type="spellEnd"/>
      <w:r w:rsidRPr="00C3758A">
        <w:t xml:space="preserve"> </w:t>
      </w:r>
      <w:r w:rsidRPr="00C3758A">
        <w:rPr>
          <w:b/>
          <w:bCs/>
        </w:rPr>
        <w:t>Fig. 4</w:t>
      </w:r>
      <w:r w:rsidRPr="00C3758A">
        <w:t xml:space="preserve">) nel nostro Paese, si colloca nella media europea, con valori nell’ultimo triennio inferiori alla Spagna e leggermente superiori alla </w:t>
      </w:r>
      <w:r w:rsidR="00456F5B" w:rsidRPr="00C3758A">
        <w:t>Francia</w:t>
      </w:r>
      <w:r w:rsidR="0078234C" w:rsidRPr="00C3758A">
        <w:t>.</w:t>
      </w:r>
      <w:r w:rsidR="00456F5B" w:rsidRPr="00C3758A">
        <w:t xml:space="preserve"> </w:t>
      </w:r>
      <w:r w:rsidR="0078234C" w:rsidRPr="00C3758A">
        <w:t xml:space="preserve">Nel 2020, a causa della pandemia Covid 19, si è avuta una riduzione delle iscrizioni in quasi tutti i paesi. L’entità della riduzione non è stata però omogenea, probabilmente riflettendo la diversa intensità con cui la pandemia ha colpito i diversi paesi L’Italia, assieme alla Polonia, al Portogallo e alla Francia, è tra i paesi che hanno registrato il calo più marcato delle iscrizioni. </w:t>
      </w:r>
    </w:p>
    <w:p w14:paraId="1D61CAED" w14:textId="13037594" w:rsidR="00545EDE" w:rsidRDefault="00545EDE" w:rsidP="00FD103D">
      <w:pPr>
        <w:pStyle w:val="Paragrafoelenco"/>
        <w:numPr>
          <w:ilvl w:val="0"/>
          <w:numId w:val="10"/>
        </w:numPr>
        <w:spacing w:line="312" w:lineRule="auto"/>
        <w:ind w:left="0"/>
        <w:jc w:val="both"/>
      </w:pPr>
    </w:p>
    <w:p w14:paraId="595FA19B" w14:textId="4B84D512" w:rsidR="003E7422" w:rsidRDefault="003E7422" w:rsidP="00545EDE">
      <w:pPr>
        <w:pStyle w:val="Paragrafoelenco"/>
        <w:spacing w:line="312" w:lineRule="auto"/>
        <w:ind w:left="0"/>
        <w:jc w:val="both"/>
      </w:pPr>
      <w:r w:rsidRPr="003E7422">
        <w:rPr>
          <w:noProof/>
        </w:rPr>
        <w:drawing>
          <wp:inline distT="0" distB="0" distL="0" distR="0" wp14:anchorId="41EEE6B6" wp14:editId="3C9B420D">
            <wp:extent cx="6299835" cy="2807970"/>
            <wp:effectExtent l="0" t="0" r="571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807970"/>
                    </a:xfrm>
                    <a:prstGeom prst="rect">
                      <a:avLst/>
                    </a:prstGeom>
                  </pic:spPr>
                </pic:pic>
              </a:graphicData>
            </a:graphic>
          </wp:inline>
        </w:drawing>
      </w:r>
    </w:p>
    <w:p w14:paraId="046B5D4D" w14:textId="77777777" w:rsidR="003E7422" w:rsidRDefault="003E7422" w:rsidP="00545EDE">
      <w:pPr>
        <w:pStyle w:val="Paragrafoelenco"/>
        <w:spacing w:line="312" w:lineRule="auto"/>
        <w:ind w:left="0"/>
        <w:jc w:val="both"/>
      </w:pPr>
    </w:p>
    <w:p w14:paraId="4C5CF7C8" w14:textId="472FADC3" w:rsidR="00FB62CB" w:rsidRDefault="007D0365" w:rsidP="00077BA8">
      <w:pPr>
        <w:pStyle w:val="Paragrafoelenco"/>
        <w:numPr>
          <w:ilvl w:val="0"/>
          <w:numId w:val="10"/>
        </w:numPr>
        <w:spacing w:line="312" w:lineRule="auto"/>
        <w:jc w:val="both"/>
      </w:pPr>
      <w:r>
        <w:t>Nel 20</w:t>
      </w:r>
      <w:r w:rsidR="00050088">
        <w:t xml:space="preserve">20 </w:t>
      </w:r>
      <w:r>
        <w:t>la</w:t>
      </w:r>
      <w:r w:rsidR="00377C6C" w:rsidRPr="008021EB">
        <w:t xml:space="preserve"> durata stimata</w:t>
      </w:r>
      <w:r w:rsidR="00377C6C" w:rsidRPr="002109BF">
        <w:t xml:space="preserve"> (“</w:t>
      </w:r>
      <w:proofErr w:type="spellStart"/>
      <w:r w:rsidR="00341D33" w:rsidRPr="00FE6FE3">
        <w:rPr>
          <w:i/>
        </w:rPr>
        <w:t>disposition</w:t>
      </w:r>
      <w:proofErr w:type="spellEnd"/>
      <w:r w:rsidR="00341D33" w:rsidRPr="00FE6FE3">
        <w:rPr>
          <w:i/>
        </w:rPr>
        <w:t xml:space="preserve"> time</w:t>
      </w:r>
      <w:r w:rsidR="00377C6C" w:rsidRPr="00FE6FE3">
        <w:rPr>
          <w:i/>
        </w:rPr>
        <w:t>”</w:t>
      </w:r>
      <w:r w:rsidR="00377C6C" w:rsidRPr="002109BF">
        <w:t>)</w:t>
      </w:r>
      <w:r w:rsidR="00341D33" w:rsidRPr="002109BF">
        <w:t xml:space="preserve"> </w:t>
      </w:r>
      <w:r w:rsidR="00377C6C" w:rsidRPr="002109BF">
        <w:t xml:space="preserve">dei procedimenti di </w:t>
      </w:r>
      <w:r w:rsidR="00DE6737" w:rsidRPr="002109BF">
        <w:t>contenzioso civile e commerciale</w:t>
      </w:r>
      <w:r w:rsidR="00341D33" w:rsidRPr="002109BF">
        <w:t xml:space="preserve"> (</w:t>
      </w:r>
      <w:r w:rsidR="00341D33" w:rsidRPr="00FE6FE3">
        <w:rPr>
          <w:i/>
        </w:rPr>
        <w:t>“</w:t>
      </w:r>
      <w:proofErr w:type="spellStart"/>
      <w:r w:rsidR="00341D33" w:rsidRPr="00FE6FE3">
        <w:rPr>
          <w:i/>
        </w:rPr>
        <w:t>civil</w:t>
      </w:r>
      <w:proofErr w:type="spellEnd"/>
      <w:r w:rsidR="00341D33" w:rsidRPr="00FE6FE3">
        <w:rPr>
          <w:i/>
        </w:rPr>
        <w:t xml:space="preserve"> and commercial </w:t>
      </w:r>
      <w:proofErr w:type="spellStart"/>
      <w:r w:rsidR="00341D33" w:rsidRPr="00FE6FE3">
        <w:rPr>
          <w:i/>
        </w:rPr>
        <w:t>litigious</w:t>
      </w:r>
      <w:proofErr w:type="spellEnd"/>
      <w:r w:rsidR="00341D33" w:rsidRPr="00FE6FE3">
        <w:rPr>
          <w:i/>
        </w:rPr>
        <w:t xml:space="preserve"> </w:t>
      </w:r>
      <w:proofErr w:type="spellStart"/>
      <w:r w:rsidR="00341D33" w:rsidRPr="00FE6FE3">
        <w:rPr>
          <w:i/>
        </w:rPr>
        <w:t>cases</w:t>
      </w:r>
      <w:proofErr w:type="spellEnd"/>
      <w:r w:rsidR="00341D33" w:rsidRPr="00FE6FE3">
        <w:rPr>
          <w:i/>
        </w:rPr>
        <w:t>”</w:t>
      </w:r>
      <w:r w:rsidR="00341D33" w:rsidRPr="002109BF">
        <w:t>)</w:t>
      </w:r>
      <w:r w:rsidR="00377C6C" w:rsidRPr="002109BF">
        <w:t xml:space="preserve"> in primo grado</w:t>
      </w:r>
      <w:r>
        <w:t xml:space="preserve"> è pari a </w:t>
      </w:r>
      <w:r w:rsidR="00050088">
        <w:t>674</w:t>
      </w:r>
      <w:r w:rsidRPr="002109BF">
        <w:t xml:space="preserve"> gg</w:t>
      </w:r>
      <w:r w:rsidR="00377C6C" w:rsidRPr="002109BF">
        <w:t xml:space="preserve">, </w:t>
      </w:r>
      <w:r>
        <w:t xml:space="preserve">in aumento rispetto </w:t>
      </w:r>
      <w:r w:rsidR="00377C6C" w:rsidRPr="002109BF">
        <w:t>ai 5</w:t>
      </w:r>
      <w:r w:rsidR="00050088">
        <w:t>32</w:t>
      </w:r>
      <w:r w:rsidR="00377C6C" w:rsidRPr="002109BF">
        <w:t xml:space="preserve"> gg del 20</w:t>
      </w:r>
      <w:r>
        <w:t>1</w:t>
      </w:r>
      <w:r w:rsidR="007063F8">
        <w:t>9</w:t>
      </w:r>
      <w:r w:rsidR="00377C6C" w:rsidRPr="002109BF">
        <w:t xml:space="preserve"> </w:t>
      </w:r>
      <w:r w:rsidR="002569EA">
        <w:t>(+</w:t>
      </w:r>
      <w:r w:rsidR="00050088">
        <w:t>27</w:t>
      </w:r>
      <w:r w:rsidR="002569EA">
        <w:t>%)</w:t>
      </w:r>
      <w:r w:rsidR="00377C6C" w:rsidRPr="002109BF">
        <w:t>.</w:t>
      </w:r>
      <w:r w:rsidR="000551A3">
        <w:t xml:space="preserve"> </w:t>
      </w:r>
      <w:r w:rsidR="008021EB">
        <w:t xml:space="preserve">Il non contenzioso </w:t>
      </w:r>
      <w:r w:rsidR="008021EB" w:rsidRPr="008021EB">
        <w:t>(</w:t>
      </w:r>
      <w:r w:rsidR="008021EB" w:rsidRPr="00FE6FE3">
        <w:rPr>
          <w:i/>
        </w:rPr>
        <w:t>“non</w:t>
      </w:r>
      <w:r w:rsidR="008021EB">
        <w:t xml:space="preserve"> </w:t>
      </w:r>
      <w:proofErr w:type="spellStart"/>
      <w:r w:rsidR="008021EB" w:rsidRPr="00FE6FE3">
        <w:rPr>
          <w:i/>
        </w:rPr>
        <w:t>litigious</w:t>
      </w:r>
      <w:proofErr w:type="spellEnd"/>
      <w:r w:rsidR="008021EB" w:rsidRPr="00FE6FE3">
        <w:rPr>
          <w:i/>
        </w:rPr>
        <w:t xml:space="preserve"> </w:t>
      </w:r>
      <w:proofErr w:type="spellStart"/>
      <w:r w:rsidR="008021EB" w:rsidRPr="00FE6FE3">
        <w:rPr>
          <w:i/>
        </w:rPr>
        <w:t>cases</w:t>
      </w:r>
      <w:proofErr w:type="spellEnd"/>
      <w:r w:rsidR="008021EB" w:rsidRPr="00FE6FE3">
        <w:rPr>
          <w:i/>
        </w:rPr>
        <w:t>”</w:t>
      </w:r>
      <w:r w:rsidR="008021EB" w:rsidRPr="002109BF">
        <w:t xml:space="preserve">) </w:t>
      </w:r>
      <w:r w:rsidR="008021EB">
        <w:t>fa registrare un</w:t>
      </w:r>
      <w:r w:rsidR="00050088">
        <w:t xml:space="preserve"> aumento</w:t>
      </w:r>
      <w:r w:rsidR="008021EB">
        <w:t xml:space="preserve"> del </w:t>
      </w:r>
      <w:proofErr w:type="spellStart"/>
      <w:r w:rsidR="008021EB">
        <w:t>disposition</w:t>
      </w:r>
      <w:proofErr w:type="spellEnd"/>
      <w:r w:rsidR="008021EB">
        <w:t xml:space="preserve"> time pari al</w:t>
      </w:r>
      <w:r w:rsidR="00517C42">
        <w:t xml:space="preserve"> </w:t>
      </w:r>
      <w:r w:rsidR="00050088">
        <w:t>3</w:t>
      </w:r>
      <w:r>
        <w:t>4</w:t>
      </w:r>
      <w:r w:rsidR="008021EB">
        <w:t>%, la durata stimata passa infatti da 2</w:t>
      </w:r>
      <w:r w:rsidR="00050088">
        <w:t>22</w:t>
      </w:r>
      <w:r w:rsidR="008021EB">
        <w:t xml:space="preserve"> gg nel 2</w:t>
      </w:r>
      <w:r w:rsidR="00517C42">
        <w:t>01</w:t>
      </w:r>
      <w:r w:rsidR="00050088">
        <w:t>9</w:t>
      </w:r>
      <w:r w:rsidR="008021EB">
        <w:t xml:space="preserve"> a 2</w:t>
      </w:r>
      <w:r w:rsidR="00050088">
        <w:t>97</w:t>
      </w:r>
      <w:r w:rsidR="008021EB">
        <w:t xml:space="preserve"> nel 20</w:t>
      </w:r>
      <w:r w:rsidR="00050088">
        <w:t>20</w:t>
      </w:r>
      <w:r w:rsidR="00545EDE">
        <w:t>.</w:t>
      </w:r>
      <w:r w:rsidR="00FE6FE3">
        <w:t xml:space="preserve"> </w:t>
      </w:r>
      <w:r w:rsidR="00050088">
        <w:t>S</w:t>
      </w:r>
      <w:r w:rsidR="00FB62CB" w:rsidRPr="002109BF">
        <w:t xml:space="preserve">e </w:t>
      </w:r>
      <w:r w:rsidR="00FB62CB">
        <w:t xml:space="preserve">si </w:t>
      </w:r>
      <w:r w:rsidR="00FB62CB" w:rsidRPr="002109BF">
        <w:t xml:space="preserve">considera </w:t>
      </w:r>
      <w:r w:rsidR="00FB62CB">
        <w:t>i</w:t>
      </w:r>
      <w:r w:rsidR="00FB62CB" w:rsidRPr="002109BF">
        <w:t>l totale dei procedimenti civili</w:t>
      </w:r>
      <w:r w:rsidR="00FB62CB">
        <w:t xml:space="preserve"> (</w:t>
      </w:r>
      <w:r w:rsidR="00FB62CB" w:rsidRPr="002109BF">
        <w:t xml:space="preserve">contenziosi </w:t>
      </w:r>
      <w:r w:rsidR="00FB62CB">
        <w:t xml:space="preserve">e </w:t>
      </w:r>
      <w:r w:rsidR="00FB62CB" w:rsidRPr="002109BF">
        <w:t>non contenziosi</w:t>
      </w:r>
      <w:r w:rsidR="00FB62CB">
        <w:t>)</w:t>
      </w:r>
      <w:r w:rsidR="00FB62CB" w:rsidRPr="002109BF">
        <w:t xml:space="preserve"> e amministrativi</w:t>
      </w:r>
      <w:r w:rsidR="00050088">
        <w:t xml:space="preserve"> si registra un aumento totale del 28%</w:t>
      </w:r>
      <w:r w:rsidR="00FB62CB">
        <w:t>:</w:t>
      </w:r>
    </w:p>
    <w:p w14:paraId="65092263" w14:textId="77777777" w:rsidR="008249CF" w:rsidRDefault="008249CF" w:rsidP="008249CF">
      <w:pPr>
        <w:pStyle w:val="Paragrafoelenco"/>
        <w:spacing w:line="312" w:lineRule="auto"/>
        <w:jc w:val="both"/>
      </w:pPr>
    </w:p>
    <w:p w14:paraId="50D400B1" w14:textId="5079A058" w:rsidR="008249CF" w:rsidRDefault="008249CF" w:rsidP="008249CF">
      <w:pPr>
        <w:pStyle w:val="Paragrafoelenco"/>
        <w:spacing w:line="312" w:lineRule="auto"/>
        <w:jc w:val="center"/>
      </w:pPr>
      <w:r w:rsidRPr="008249CF">
        <w:rPr>
          <w:noProof/>
        </w:rPr>
        <w:drawing>
          <wp:inline distT="0" distB="0" distL="0" distR="0" wp14:anchorId="367A6774" wp14:editId="327BBFCB">
            <wp:extent cx="4763135" cy="787400"/>
            <wp:effectExtent l="0" t="0" r="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3135" cy="787400"/>
                    </a:xfrm>
                    <a:prstGeom prst="rect">
                      <a:avLst/>
                    </a:prstGeom>
                    <a:noFill/>
                    <a:ln>
                      <a:noFill/>
                    </a:ln>
                  </pic:spPr>
                </pic:pic>
              </a:graphicData>
            </a:graphic>
          </wp:inline>
        </w:drawing>
      </w:r>
    </w:p>
    <w:p w14:paraId="5A9E98A0" w14:textId="32561746" w:rsidR="000157D2" w:rsidRDefault="000157D2" w:rsidP="000157D2">
      <w:pPr>
        <w:pStyle w:val="Paragrafoelenco"/>
        <w:spacing w:line="312" w:lineRule="auto"/>
        <w:jc w:val="center"/>
      </w:pPr>
    </w:p>
    <w:p w14:paraId="7E5B258B" w14:textId="77777777" w:rsidR="000551A3" w:rsidRDefault="000551A3" w:rsidP="000157D2">
      <w:pPr>
        <w:pStyle w:val="Paragrafoelenco"/>
        <w:spacing w:line="312" w:lineRule="auto"/>
        <w:jc w:val="center"/>
      </w:pPr>
    </w:p>
    <w:p w14:paraId="3C590C4C" w14:textId="512DD51F" w:rsidR="00545EDE" w:rsidRPr="00456F5B" w:rsidRDefault="00504051" w:rsidP="000551A3">
      <w:pPr>
        <w:pStyle w:val="Paragrafoelenco"/>
        <w:numPr>
          <w:ilvl w:val="0"/>
          <w:numId w:val="10"/>
        </w:numPr>
        <w:spacing w:line="312" w:lineRule="auto"/>
        <w:jc w:val="both"/>
      </w:pPr>
      <w:r w:rsidRPr="00456F5B">
        <w:rPr>
          <w:b/>
          <w:bCs/>
        </w:rPr>
        <w:t>L</w:t>
      </w:r>
      <w:r w:rsidR="00545EDE" w:rsidRPr="00456F5B">
        <w:rPr>
          <w:b/>
          <w:bCs/>
        </w:rPr>
        <w:t xml:space="preserve">’Italia si conferma il paese con la durata media </w:t>
      </w:r>
      <w:r w:rsidR="000551A3" w:rsidRPr="00456F5B">
        <w:rPr>
          <w:b/>
          <w:bCs/>
        </w:rPr>
        <w:t xml:space="preserve">per i procedimenti civili contenziosi </w:t>
      </w:r>
      <w:r w:rsidR="00545EDE" w:rsidRPr="00456F5B">
        <w:rPr>
          <w:b/>
          <w:bCs/>
        </w:rPr>
        <w:t>tra le più elevate</w:t>
      </w:r>
      <w:r w:rsidR="00456F5B" w:rsidRPr="00456F5B">
        <w:t xml:space="preserve"> </w:t>
      </w:r>
      <w:r w:rsidR="000551A3" w:rsidRPr="00456F5B">
        <w:t>(</w:t>
      </w:r>
      <w:r w:rsidR="000551A3" w:rsidRPr="00456F5B">
        <w:rPr>
          <w:b/>
          <w:bCs/>
        </w:rPr>
        <w:t>Fig. 7</w:t>
      </w:r>
      <w:r w:rsidR="000551A3" w:rsidRPr="00456F5B">
        <w:t>)</w:t>
      </w:r>
      <w:r w:rsidRPr="00456F5B">
        <w:t>;</w:t>
      </w:r>
      <w:r w:rsidR="000551A3" w:rsidRPr="00456F5B">
        <w:t xml:space="preserve"> </w:t>
      </w:r>
      <w:r w:rsidRPr="00456F5B">
        <w:t xml:space="preserve">il </w:t>
      </w:r>
      <w:r w:rsidR="00456F5B" w:rsidRPr="00456F5B">
        <w:t>P</w:t>
      </w:r>
      <w:r w:rsidRPr="00456F5B">
        <w:t>aese</w:t>
      </w:r>
      <w:r w:rsidR="000551A3" w:rsidRPr="00456F5B">
        <w:t xml:space="preserve"> </w:t>
      </w:r>
      <w:r w:rsidRPr="00456F5B">
        <w:t xml:space="preserve">si </w:t>
      </w:r>
      <w:r w:rsidR="000551A3" w:rsidRPr="00456F5B">
        <w:t xml:space="preserve">posiziona ultimo nella classifica </w:t>
      </w:r>
      <w:r w:rsidRPr="00456F5B">
        <w:t>che considera</w:t>
      </w:r>
      <w:r w:rsidR="000551A3" w:rsidRPr="00456F5B">
        <w:t xml:space="preserve"> tutti i gradi di giudizio (</w:t>
      </w:r>
      <w:r w:rsidR="000551A3" w:rsidRPr="00456F5B">
        <w:rPr>
          <w:b/>
          <w:bCs/>
        </w:rPr>
        <w:t>Fig. 8</w:t>
      </w:r>
      <w:r w:rsidR="000551A3" w:rsidRPr="00456F5B">
        <w:t>)</w:t>
      </w:r>
      <w:r w:rsidR="0056766B" w:rsidRPr="00456F5B">
        <w:t>:</w:t>
      </w:r>
    </w:p>
    <w:p w14:paraId="1C920A29" w14:textId="77777777" w:rsidR="00456F5B" w:rsidRDefault="00456F5B" w:rsidP="00456F5B">
      <w:pPr>
        <w:pStyle w:val="Paragrafoelenco"/>
        <w:spacing w:line="312" w:lineRule="auto"/>
        <w:jc w:val="both"/>
        <w:rPr>
          <w:highlight w:val="yellow"/>
        </w:rPr>
      </w:pPr>
    </w:p>
    <w:p w14:paraId="523589D1" w14:textId="190A478B" w:rsidR="00456F5B" w:rsidRPr="00456F5B" w:rsidRDefault="00456F5B" w:rsidP="00456F5B">
      <w:pPr>
        <w:spacing w:line="312" w:lineRule="auto"/>
        <w:jc w:val="both"/>
        <w:rPr>
          <w:highlight w:val="yellow"/>
        </w:rPr>
      </w:pPr>
      <w:r w:rsidRPr="00456F5B">
        <w:rPr>
          <w:noProof/>
        </w:rPr>
        <w:drawing>
          <wp:inline distT="0" distB="0" distL="0" distR="0" wp14:anchorId="3A6755AB" wp14:editId="034F8445">
            <wp:extent cx="6299835" cy="3099435"/>
            <wp:effectExtent l="0" t="0" r="5715" b="571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099435"/>
                    </a:xfrm>
                    <a:prstGeom prst="rect">
                      <a:avLst/>
                    </a:prstGeom>
                  </pic:spPr>
                </pic:pic>
              </a:graphicData>
            </a:graphic>
          </wp:inline>
        </w:drawing>
      </w:r>
    </w:p>
    <w:p w14:paraId="3212DE10" w14:textId="77777777" w:rsidR="00545EDE" w:rsidRDefault="00545EDE" w:rsidP="00545EDE">
      <w:pPr>
        <w:pStyle w:val="Paragrafoelenco"/>
        <w:spacing w:line="312" w:lineRule="auto"/>
        <w:jc w:val="both"/>
      </w:pPr>
    </w:p>
    <w:p w14:paraId="3F39879E" w14:textId="39729353" w:rsidR="00545EDE" w:rsidRDefault="00456F5B" w:rsidP="000551A3">
      <w:pPr>
        <w:pStyle w:val="Paragrafoelenco"/>
        <w:spacing w:line="312" w:lineRule="auto"/>
        <w:ind w:left="0"/>
        <w:jc w:val="center"/>
      </w:pPr>
      <w:r w:rsidRPr="00456F5B">
        <w:rPr>
          <w:noProof/>
        </w:rPr>
        <w:lastRenderedPageBreak/>
        <w:drawing>
          <wp:inline distT="0" distB="0" distL="0" distR="0" wp14:anchorId="7B8A969D" wp14:editId="77E9B1F5">
            <wp:extent cx="6299835" cy="2935605"/>
            <wp:effectExtent l="0" t="0" r="5715"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2935605"/>
                    </a:xfrm>
                    <a:prstGeom prst="rect">
                      <a:avLst/>
                    </a:prstGeom>
                  </pic:spPr>
                </pic:pic>
              </a:graphicData>
            </a:graphic>
          </wp:inline>
        </w:drawing>
      </w:r>
    </w:p>
    <w:p w14:paraId="34B49880" w14:textId="5B5CF97D" w:rsidR="00FB62CB" w:rsidRDefault="00FB62CB" w:rsidP="000551A3">
      <w:pPr>
        <w:spacing w:line="312" w:lineRule="auto"/>
        <w:jc w:val="center"/>
      </w:pPr>
    </w:p>
    <w:p w14:paraId="2B5E5D19" w14:textId="77777777" w:rsidR="00504051" w:rsidRDefault="00504051" w:rsidP="00504051">
      <w:pPr>
        <w:pStyle w:val="Paragrafoelenco"/>
        <w:spacing w:line="312" w:lineRule="auto"/>
        <w:jc w:val="both"/>
      </w:pPr>
    </w:p>
    <w:p w14:paraId="0F4B3567" w14:textId="059ACE32" w:rsidR="00377C6C" w:rsidRDefault="002569EA" w:rsidP="00377C6C">
      <w:pPr>
        <w:pStyle w:val="Paragrafoelenco"/>
        <w:numPr>
          <w:ilvl w:val="0"/>
          <w:numId w:val="10"/>
        </w:numPr>
        <w:spacing w:line="312" w:lineRule="auto"/>
        <w:jc w:val="both"/>
      </w:pPr>
      <w:r>
        <w:t>Per il secondo grado</w:t>
      </w:r>
      <w:r w:rsidR="00ED0866">
        <w:t>,</w:t>
      </w:r>
      <w:r>
        <w:t xml:space="preserve"> r</w:t>
      </w:r>
      <w:r w:rsidR="008021EB" w:rsidRPr="002109BF">
        <w:t>ispetto al 201</w:t>
      </w:r>
      <w:r w:rsidR="00050088">
        <w:t>9</w:t>
      </w:r>
      <w:r w:rsidR="008021EB" w:rsidRPr="002109BF">
        <w:t xml:space="preserve">, </w:t>
      </w:r>
      <w:r w:rsidR="00ED0866">
        <w:t>l</w:t>
      </w:r>
      <w:r w:rsidR="008021EB" w:rsidRPr="002109BF">
        <w:t xml:space="preserve">’Italia fa registrare </w:t>
      </w:r>
      <w:r w:rsidR="008021EB" w:rsidRPr="008021EB">
        <w:t>un</w:t>
      </w:r>
      <w:r w:rsidR="00050088">
        <w:t xml:space="preserve"> aumento d</w:t>
      </w:r>
      <w:r w:rsidR="008021EB" w:rsidRPr="008021EB">
        <w:t>ella durata stimata</w:t>
      </w:r>
      <w:r w:rsidR="008021EB" w:rsidRPr="002109BF">
        <w:t xml:space="preserve"> (“</w:t>
      </w:r>
      <w:proofErr w:type="spellStart"/>
      <w:r w:rsidR="008021EB" w:rsidRPr="002569EA">
        <w:rPr>
          <w:i/>
        </w:rPr>
        <w:t>disposition</w:t>
      </w:r>
      <w:proofErr w:type="spellEnd"/>
      <w:r w:rsidR="008021EB" w:rsidRPr="002569EA">
        <w:rPr>
          <w:i/>
        </w:rPr>
        <w:t xml:space="preserve"> time”</w:t>
      </w:r>
      <w:r w:rsidR="008021EB" w:rsidRPr="002109BF">
        <w:t>) dei procedimenti di contenzioso civile e commerciale (</w:t>
      </w:r>
      <w:r w:rsidR="008021EB" w:rsidRPr="002569EA">
        <w:rPr>
          <w:i/>
        </w:rPr>
        <w:t>“</w:t>
      </w:r>
      <w:proofErr w:type="spellStart"/>
      <w:r w:rsidR="008021EB" w:rsidRPr="002569EA">
        <w:rPr>
          <w:i/>
        </w:rPr>
        <w:t>civil</w:t>
      </w:r>
      <w:proofErr w:type="spellEnd"/>
      <w:r w:rsidR="008021EB" w:rsidRPr="002569EA">
        <w:rPr>
          <w:i/>
        </w:rPr>
        <w:t xml:space="preserve"> and commercial </w:t>
      </w:r>
      <w:proofErr w:type="spellStart"/>
      <w:r w:rsidR="008021EB" w:rsidRPr="002569EA">
        <w:rPr>
          <w:i/>
        </w:rPr>
        <w:t>litigious</w:t>
      </w:r>
      <w:proofErr w:type="spellEnd"/>
      <w:r w:rsidR="008021EB" w:rsidRPr="002569EA">
        <w:rPr>
          <w:i/>
        </w:rPr>
        <w:t xml:space="preserve"> </w:t>
      </w:r>
      <w:proofErr w:type="spellStart"/>
      <w:r w:rsidR="008021EB" w:rsidRPr="002569EA">
        <w:rPr>
          <w:i/>
        </w:rPr>
        <w:t>cases</w:t>
      </w:r>
      <w:proofErr w:type="spellEnd"/>
      <w:r w:rsidR="008021EB" w:rsidRPr="002569EA">
        <w:rPr>
          <w:i/>
        </w:rPr>
        <w:t>”</w:t>
      </w:r>
      <w:r w:rsidR="008021EB" w:rsidRPr="002109BF">
        <w:t xml:space="preserve">), che passa </w:t>
      </w:r>
      <w:r w:rsidR="00517C42">
        <w:t>d</w:t>
      </w:r>
      <w:r w:rsidR="008021EB" w:rsidRPr="002109BF">
        <w:t xml:space="preserve">ai </w:t>
      </w:r>
      <w:r w:rsidR="00050088">
        <w:t>791</w:t>
      </w:r>
      <w:r w:rsidR="008021EB" w:rsidRPr="002109BF">
        <w:t xml:space="preserve"> gg del 201</w:t>
      </w:r>
      <w:r w:rsidR="00050088">
        <w:t>9</w:t>
      </w:r>
      <w:r>
        <w:t xml:space="preserve"> </w:t>
      </w:r>
      <w:r w:rsidR="00517C42">
        <w:t xml:space="preserve">ai </w:t>
      </w:r>
      <w:r w:rsidR="00050088">
        <w:t>1026</w:t>
      </w:r>
      <w:r w:rsidR="00517C42">
        <w:t xml:space="preserve"> del 20</w:t>
      </w:r>
      <w:r w:rsidR="00050088">
        <w:t>20</w:t>
      </w:r>
      <w:r w:rsidR="00517C42">
        <w:t xml:space="preserve"> </w:t>
      </w:r>
      <w:r>
        <w:t>(</w:t>
      </w:r>
      <w:r w:rsidR="00050088">
        <w:t>+30</w:t>
      </w:r>
      <w:r>
        <w:t>%)</w:t>
      </w:r>
      <w:r w:rsidR="008021EB" w:rsidRPr="002109BF">
        <w:t>.</w:t>
      </w:r>
      <w:r w:rsidR="00050088">
        <w:t xml:space="preserve"> Anche i</w:t>
      </w:r>
      <w:r w:rsidR="008021EB">
        <w:t xml:space="preserve">l non contenzioso </w:t>
      </w:r>
      <w:r w:rsidR="008021EB" w:rsidRPr="008021EB">
        <w:t>(</w:t>
      </w:r>
      <w:r w:rsidR="008021EB" w:rsidRPr="002569EA">
        <w:rPr>
          <w:i/>
        </w:rPr>
        <w:t>“non</w:t>
      </w:r>
      <w:r w:rsidR="008021EB">
        <w:t xml:space="preserve"> </w:t>
      </w:r>
      <w:proofErr w:type="spellStart"/>
      <w:r w:rsidR="008021EB" w:rsidRPr="002569EA">
        <w:rPr>
          <w:i/>
        </w:rPr>
        <w:t>litigious</w:t>
      </w:r>
      <w:proofErr w:type="spellEnd"/>
      <w:r w:rsidR="008021EB" w:rsidRPr="002569EA">
        <w:rPr>
          <w:i/>
        </w:rPr>
        <w:t xml:space="preserve"> </w:t>
      </w:r>
      <w:proofErr w:type="spellStart"/>
      <w:r w:rsidR="008021EB" w:rsidRPr="002569EA">
        <w:rPr>
          <w:i/>
        </w:rPr>
        <w:t>cases</w:t>
      </w:r>
      <w:proofErr w:type="spellEnd"/>
      <w:r w:rsidR="008021EB" w:rsidRPr="002569EA">
        <w:rPr>
          <w:i/>
        </w:rPr>
        <w:t>”</w:t>
      </w:r>
      <w:r w:rsidR="008021EB" w:rsidRPr="002109BF">
        <w:t xml:space="preserve">) </w:t>
      </w:r>
      <w:r w:rsidR="008021EB">
        <w:t xml:space="preserve">fa registrare </w:t>
      </w:r>
      <w:r>
        <w:t xml:space="preserve">un aumento del </w:t>
      </w:r>
      <w:proofErr w:type="spellStart"/>
      <w:r>
        <w:t>disposition</w:t>
      </w:r>
      <w:proofErr w:type="spellEnd"/>
      <w:r>
        <w:t xml:space="preserve"> time pari al</w:t>
      </w:r>
      <w:r w:rsidR="00182B9C">
        <w:t xml:space="preserve"> 29</w:t>
      </w:r>
      <w:r w:rsidR="007063F8">
        <w:t>%</w:t>
      </w:r>
      <w:r w:rsidR="008021EB">
        <w:t>, la durata stimata passa infatti da 23</w:t>
      </w:r>
      <w:r w:rsidR="00182B9C">
        <w:t>2</w:t>
      </w:r>
      <w:r w:rsidR="008021EB">
        <w:t xml:space="preserve"> nel 201</w:t>
      </w:r>
      <w:r w:rsidR="007063F8">
        <w:t>9</w:t>
      </w:r>
      <w:r w:rsidR="00517C42">
        <w:t xml:space="preserve"> a 2</w:t>
      </w:r>
      <w:r w:rsidR="00182B9C">
        <w:t>98</w:t>
      </w:r>
      <w:r w:rsidR="00517C42">
        <w:t xml:space="preserve"> nel 20</w:t>
      </w:r>
      <w:r w:rsidR="00182B9C">
        <w:t>20</w:t>
      </w:r>
      <w:r w:rsidR="008021EB">
        <w:t xml:space="preserve">. </w:t>
      </w:r>
      <w:r>
        <w:t>In totale si osserva un</w:t>
      </w:r>
      <w:r w:rsidR="00182B9C">
        <w:t xml:space="preserve"> </w:t>
      </w:r>
      <w:r>
        <w:t>a</w:t>
      </w:r>
      <w:r w:rsidR="00182B9C">
        <w:t xml:space="preserve">umento </w:t>
      </w:r>
      <w:r>
        <w:t>pari al</w:t>
      </w:r>
      <w:r w:rsidR="00182B9C">
        <w:t xml:space="preserve"> 29</w:t>
      </w:r>
      <w:r>
        <w:t>%</w:t>
      </w:r>
      <w:r w:rsidR="00FB62CB">
        <w:t>:</w:t>
      </w:r>
    </w:p>
    <w:p w14:paraId="06AEF303" w14:textId="77777777" w:rsidR="00ED0866" w:rsidRDefault="00ED0866" w:rsidP="00ED0866">
      <w:pPr>
        <w:pStyle w:val="Paragrafoelenco"/>
        <w:spacing w:line="312" w:lineRule="auto"/>
        <w:jc w:val="both"/>
      </w:pPr>
    </w:p>
    <w:p w14:paraId="3747B919" w14:textId="6525C57D" w:rsidR="00DF48AA" w:rsidRPr="00DF48AA" w:rsidRDefault="00DF48AA" w:rsidP="00DF48AA">
      <w:pPr>
        <w:pStyle w:val="Paragrafoelenco"/>
        <w:spacing w:line="312" w:lineRule="auto"/>
        <w:jc w:val="both"/>
      </w:pPr>
      <w:r w:rsidRPr="00DF48AA">
        <w:rPr>
          <w:noProof/>
        </w:rPr>
        <w:drawing>
          <wp:inline distT="0" distB="0" distL="0" distR="0" wp14:anchorId="01328FD4" wp14:editId="70F79541">
            <wp:extent cx="5685155" cy="787400"/>
            <wp:effectExtent l="0" t="0" r="0" b="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5155" cy="787400"/>
                    </a:xfrm>
                    <a:prstGeom prst="rect">
                      <a:avLst/>
                    </a:prstGeom>
                    <a:noFill/>
                    <a:ln>
                      <a:noFill/>
                    </a:ln>
                  </pic:spPr>
                </pic:pic>
              </a:graphicData>
            </a:graphic>
          </wp:inline>
        </w:drawing>
      </w:r>
    </w:p>
    <w:p w14:paraId="01BB5D38" w14:textId="77777777" w:rsidR="00DF48AA" w:rsidRPr="00DF48AA" w:rsidRDefault="00DF48AA" w:rsidP="00DF48AA">
      <w:pPr>
        <w:spacing w:line="312" w:lineRule="auto"/>
        <w:ind w:left="360"/>
        <w:jc w:val="both"/>
      </w:pPr>
    </w:p>
    <w:p w14:paraId="1319F6EA" w14:textId="4829FC47" w:rsidR="0078234C" w:rsidRPr="00C3758A" w:rsidRDefault="0078234C" w:rsidP="0078234C">
      <w:pPr>
        <w:pStyle w:val="Paragrafoelenco"/>
        <w:numPr>
          <w:ilvl w:val="0"/>
          <w:numId w:val="10"/>
        </w:numPr>
        <w:spacing w:after="120" w:line="312" w:lineRule="auto"/>
        <w:ind w:left="714" w:hanging="357"/>
        <w:jc w:val="both"/>
      </w:pPr>
      <w:r w:rsidRPr="00DD0F27">
        <w:rPr>
          <w:b/>
          <w:bCs/>
          <w:u w:val="single"/>
        </w:rPr>
        <w:t>I</w:t>
      </w:r>
      <w:r w:rsidRPr="00C3758A">
        <w:rPr>
          <w:b/>
          <w:bCs/>
          <w:u w:val="single"/>
        </w:rPr>
        <w:t xml:space="preserve"> dati vanno letti tenendo conto della pandemia che ha interessato l’anno 2020</w:t>
      </w:r>
      <w:r w:rsidRPr="00C3758A">
        <w:t xml:space="preserve"> </w:t>
      </w:r>
      <w:r w:rsidR="00D6552E">
        <w:t xml:space="preserve">e </w:t>
      </w:r>
      <w:r w:rsidRPr="00C3758A">
        <w:t>che ha determinato un complessivo calo dell’attività</w:t>
      </w:r>
      <w:r w:rsidR="00D6552E">
        <w:t xml:space="preserve"> giudiziaria</w:t>
      </w:r>
      <w:r w:rsidRPr="00C3758A">
        <w:t xml:space="preserve"> con diminuzioni consistenti sia in termini di definizioni che di iscrizioni. </w:t>
      </w:r>
    </w:p>
    <w:p w14:paraId="66222A93" w14:textId="77777777" w:rsidR="0078234C" w:rsidRPr="00D81617" w:rsidRDefault="0078234C" w:rsidP="0078234C">
      <w:pPr>
        <w:pStyle w:val="Paragrafoelenco"/>
        <w:spacing w:after="120" w:line="312" w:lineRule="auto"/>
        <w:ind w:left="714"/>
        <w:jc w:val="both"/>
        <w:rPr>
          <w:color w:val="FF0000"/>
        </w:rPr>
      </w:pPr>
    </w:p>
    <w:p w14:paraId="47C832C0" w14:textId="2817FBDB" w:rsidR="0078234C" w:rsidRPr="00C3758A" w:rsidRDefault="0078234C" w:rsidP="0078234C">
      <w:pPr>
        <w:pStyle w:val="Paragrafoelenco"/>
        <w:numPr>
          <w:ilvl w:val="0"/>
          <w:numId w:val="10"/>
        </w:numPr>
        <w:spacing w:line="312" w:lineRule="auto"/>
        <w:jc w:val="both"/>
      </w:pPr>
      <w:r w:rsidRPr="00C3758A">
        <w:t xml:space="preserve">Se si analizzano i flussi, infatti, emerge con tutta evidenza che, sia in primo che in secondo grado gli aumenti del DT sono da attribuire alla riduzione delle definizioni, il denominatore dell’indicatore, e non </w:t>
      </w:r>
      <w:r w:rsidR="00D6552E">
        <w:t>all’</w:t>
      </w:r>
      <w:r w:rsidRPr="00C3758A">
        <w:t>aumento delle pendenze che anzi si sono ridotte rispetto al 2019 (-</w:t>
      </w:r>
      <w:r w:rsidR="00C3758A" w:rsidRPr="00C3758A">
        <w:t>2</w:t>
      </w:r>
      <w:r w:rsidRPr="00C3758A">
        <w:t>% in primo grado e -</w:t>
      </w:r>
      <w:r w:rsidR="00C3758A" w:rsidRPr="00C3758A">
        <w:t>4</w:t>
      </w:r>
      <w:r w:rsidRPr="00C3758A">
        <w:t>% in secondo grado).</w:t>
      </w:r>
    </w:p>
    <w:p w14:paraId="664FD86C" w14:textId="77777777" w:rsidR="0078234C" w:rsidRPr="00C3758A" w:rsidRDefault="0078234C" w:rsidP="00C3758A">
      <w:pPr>
        <w:spacing w:line="312" w:lineRule="auto"/>
        <w:jc w:val="both"/>
      </w:pPr>
    </w:p>
    <w:p w14:paraId="202E9DEC" w14:textId="77777777" w:rsidR="0078234C" w:rsidRPr="00C3758A" w:rsidRDefault="0078234C" w:rsidP="0078234C">
      <w:pPr>
        <w:pStyle w:val="Paragrafoelenco"/>
        <w:numPr>
          <w:ilvl w:val="0"/>
          <w:numId w:val="10"/>
        </w:numPr>
        <w:spacing w:line="312" w:lineRule="auto"/>
        <w:jc w:val="both"/>
      </w:pPr>
      <w:r w:rsidRPr="00C3758A">
        <w:t xml:space="preserve">Si può dunque ritenere che gli aumenti osservati abbiano una natura temporanea e siano destinati ad essere riassorbiti una volta che l’attività giudiziaria si riporta sui livelli ordinari. Una conferma di ciò viene dai dati relativi al 2021 elaborati ai fini del monitoraggio continuo a fini PNRR.  </w:t>
      </w:r>
      <w:r w:rsidRPr="00C3758A">
        <w:lastRenderedPageBreak/>
        <w:t xml:space="preserve">Sebbene si tratti di dati non perfettamente confrontabili con quelli forniti nel Rapporto, poiché calcolati sul tipo ufficio (tribunale e </w:t>
      </w:r>
      <w:proofErr w:type="gramStart"/>
      <w:r w:rsidRPr="00C3758A">
        <w:t>corte di appello</w:t>
      </w:r>
      <w:proofErr w:type="gramEnd"/>
      <w:r w:rsidRPr="00C3758A">
        <w:t>) e non sul grado di giudizio (primo e secondo), essi evidenziano un DT in netto miglioramento rispetto al 2020 (-21% sia in Tribunale che in Corte d’Appello):</w:t>
      </w:r>
    </w:p>
    <w:p w14:paraId="376D35C9" w14:textId="77777777" w:rsidR="0078234C" w:rsidRPr="007D0F34" w:rsidRDefault="0078234C" w:rsidP="0078234C">
      <w:pPr>
        <w:spacing w:line="312" w:lineRule="auto"/>
        <w:jc w:val="center"/>
        <w:rPr>
          <w:rFonts w:ascii="Times New Roman" w:hAnsi="Times New Roman" w:cs="Times New Roman"/>
          <w:sz w:val="24"/>
          <w:szCs w:val="24"/>
          <w:lang w:eastAsia="it-IT"/>
        </w:rPr>
      </w:pPr>
      <w:r w:rsidRPr="007D0F34">
        <w:rPr>
          <w:rFonts w:ascii="Times New Roman" w:hAnsi="Times New Roman" w:cs="Times New Roman"/>
          <w:noProof/>
          <w:sz w:val="24"/>
          <w:szCs w:val="24"/>
          <w:lang w:eastAsia="it-IT"/>
        </w:rPr>
        <w:drawing>
          <wp:inline distT="0" distB="0" distL="0" distR="0" wp14:anchorId="07FE395A" wp14:editId="3EEAE672">
            <wp:extent cx="2830830" cy="2106930"/>
            <wp:effectExtent l="0" t="0" r="7620" b="762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30830" cy="2106930"/>
                    </a:xfrm>
                    <a:prstGeom prst="rect">
                      <a:avLst/>
                    </a:prstGeom>
                    <a:noFill/>
                    <a:ln>
                      <a:noFill/>
                    </a:ln>
                  </pic:spPr>
                </pic:pic>
              </a:graphicData>
            </a:graphic>
          </wp:inline>
        </w:drawing>
      </w:r>
    </w:p>
    <w:p w14:paraId="73B52BB2" w14:textId="77777777" w:rsidR="0078234C" w:rsidRDefault="0078234C" w:rsidP="0078234C">
      <w:pPr>
        <w:pStyle w:val="Testocommento"/>
        <w:rPr>
          <w:rFonts w:ascii="Times New Roman" w:hAnsi="Times New Roman" w:cs="Times New Roman"/>
          <w:sz w:val="24"/>
          <w:szCs w:val="24"/>
          <w:lang w:eastAsia="it-IT"/>
        </w:rPr>
      </w:pPr>
    </w:p>
    <w:p w14:paraId="085A370A" w14:textId="1BA2B0D8" w:rsidR="0078234C" w:rsidRPr="00C3758A" w:rsidRDefault="0078234C" w:rsidP="0078234C">
      <w:pPr>
        <w:pStyle w:val="Paragrafoelenco"/>
        <w:numPr>
          <w:ilvl w:val="0"/>
          <w:numId w:val="10"/>
        </w:numPr>
        <w:spacing w:line="312" w:lineRule="auto"/>
        <w:jc w:val="both"/>
      </w:pPr>
      <w:r w:rsidRPr="00C3758A">
        <w:t xml:space="preserve">Anche il confronto con gli altri Paesi che emerge dal Rapporto risente degli effetti della pandemia e del fatto che il calo dell’attività giudiziaria </w:t>
      </w:r>
      <w:r w:rsidRPr="00C3758A">
        <w:rPr>
          <w:u w:val="single"/>
        </w:rPr>
        <w:t>sia dal lato delle definizioni che da quello delle iscrizioni (fig. 4)</w:t>
      </w:r>
      <w:r w:rsidRPr="00C3758A">
        <w:t xml:space="preserve">, è stato più accentuato nei paesi, come l’Italia, colpiti </w:t>
      </w:r>
      <w:r w:rsidR="009B70E1">
        <w:t xml:space="preserve">per primi e </w:t>
      </w:r>
      <w:r w:rsidR="00E74036">
        <w:t>di più</w:t>
      </w:r>
      <w:r w:rsidR="009B70E1">
        <w:t xml:space="preserve"> </w:t>
      </w:r>
      <w:r w:rsidRPr="00C3758A">
        <w:t xml:space="preserve">dall’emergenza e perciò sottoposti a misure restrittive </w:t>
      </w:r>
      <w:r w:rsidR="009B70E1">
        <w:t xml:space="preserve">della circolazione </w:t>
      </w:r>
      <w:r w:rsidRPr="00C3758A">
        <w:t>più severe e per periodi più lunghi</w:t>
      </w:r>
      <w:r w:rsidR="009B70E1">
        <w:t xml:space="preserve"> nonché alla normativa emergenziale che ha determinato la sospensione di vari tipologie di procedimenti</w:t>
      </w:r>
      <w:r w:rsidRPr="00C3758A">
        <w:t>.</w:t>
      </w:r>
    </w:p>
    <w:p w14:paraId="1F0C40A0" w14:textId="77777777" w:rsidR="00DF48AA" w:rsidRDefault="00DF48AA" w:rsidP="00DF48AA">
      <w:pPr>
        <w:pStyle w:val="Paragrafoelenco"/>
        <w:spacing w:line="312" w:lineRule="auto"/>
        <w:jc w:val="both"/>
      </w:pPr>
    </w:p>
    <w:p w14:paraId="3417F6E5" w14:textId="77777777" w:rsidR="00DF48AA" w:rsidRPr="00DF48AA" w:rsidRDefault="00DF48AA" w:rsidP="00DF48AA">
      <w:pPr>
        <w:pStyle w:val="Paragrafoelenco"/>
        <w:spacing w:line="312" w:lineRule="auto"/>
        <w:jc w:val="both"/>
      </w:pPr>
    </w:p>
    <w:p w14:paraId="07D027F3" w14:textId="46E3ECFE" w:rsidR="00504051" w:rsidRDefault="006B712F" w:rsidP="00504051">
      <w:pPr>
        <w:pStyle w:val="Paragrafoelenco"/>
        <w:numPr>
          <w:ilvl w:val="0"/>
          <w:numId w:val="21"/>
        </w:numPr>
        <w:spacing w:line="312" w:lineRule="auto"/>
        <w:jc w:val="both"/>
      </w:pPr>
      <w:r w:rsidRPr="00504051">
        <w:rPr>
          <w:b/>
          <w:u w:val="single"/>
        </w:rPr>
        <w:t xml:space="preserve">L’Italia si conferma tra i Paesi con un elevato </w:t>
      </w:r>
      <w:r w:rsidRPr="00504051">
        <w:rPr>
          <w:b/>
          <w:i/>
          <w:u w:val="single"/>
        </w:rPr>
        <w:t>c</w:t>
      </w:r>
      <w:r w:rsidR="00377C6C" w:rsidRPr="00504051">
        <w:rPr>
          <w:b/>
          <w:i/>
          <w:u w:val="single"/>
        </w:rPr>
        <w:t>learance rate</w:t>
      </w:r>
      <w:r w:rsidR="00377C6C" w:rsidRPr="00504051">
        <w:t xml:space="preserve">, ovvero </w:t>
      </w:r>
      <w:r w:rsidRPr="00504051">
        <w:t xml:space="preserve">un </w:t>
      </w:r>
      <w:r w:rsidR="007B6569" w:rsidRPr="00504051">
        <w:t xml:space="preserve">elevato </w:t>
      </w:r>
      <w:r w:rsidR="00377C6C" w:rsidRPr="00504051">
        <w:t xml:space="preserve">rapporto tra </w:t>
      </w:r>
      <w:r w:rsidRPr="00504051">
        <w:t xml:space="preserve">procedimenti </w:t>
      </w:r>
      <w:r w:rsidR="00377C6C" w:rsidRPr="00504051">
        <w:t xml:space="preserve">definiti e </w:t>
      </w:r>
      <w:r w:rsidRPr="00504051">
        <w:t xml:space="preserve">procedimenti </w:t>
      </w:r>
      <w:r w:rsidR="00377C6C" w:rsidRPr="00504051">
        <w:t>iscritti</w:t>
      </w:r>
      <w:r w:rsidRPr="00504051">
        <w:t xml:space="preserve"> in un dato anno. Anche </w:t>
      </w:r>
      <w:r w:rsidR="00377C6C" w:rsidRPr="00504051">
        <w:t>nel 20</w:t>
      </w:r>
      <w:r w:rsidR="00182B9C">
        <w:t>20</w:t>
      </w:r>
      <w:r w:rsidRPr="00504051">
        <w:t>,</w:t>
      </w:r>
      <w:r w:rsidR="00377C6C" w:rsidRPr="00504051">
        <w:t xml:space="preserve"> </w:t>
      </w:r>
      <w:r w:rsidRPr="00504051">
        <w:t xml:space="preserve">il </w:t>
      </w:r>
      <w:r w:rsidRPr="00504051">
        <w:rPr>
          <w:i/>
        </w:rPr>
        <w:t>clearance rate</w:t>
      </w:r>
      <w:r w:rsidRPr="00504051">
        <w:t xml:space="preserve"> </w:t>
      </w:r>
      <w:r w:rsidR="00377C6C" w:rsidRPr="00504051">
        <w:t xml:space="preserve">è stato </w:t>
      </w:r>
      <w:r w:rsidR="002109BF" w:rsidRPr="00504051">
        <w:t xml:space="preserve">infatti </w:t>
      </w:r>
      <w:r w:rsidR="00377C6C" w:rsidRPr="00504051">
        <w:t>superiore al 100%</w:t>
      </w:r>
      <w:r w:rsidR="002569EA" w:rsidRPr="00504051">
        <w:t xml:space="preserve">. </w:t>
      </w:r>
      <w:r w:rsidRPr="00504051">
        <w:t>Ciò significa che</w:t>
      </w:r>
      <w:r w:rsidR="00531031" w:rsidRPr="00504051">
        <w:t xml:space="preserve"> </w:t>
      </w:r>
      <w:r w:rsidR="00AE0B43" w:rsidRPr="00504051">
        <w:t xml:space="preserve">nell’anno sono stati definiti più </w:t>
      </w:r>
      <w:r w:rsidR="00531031" w:rsidRPr="00504051">
        <w:t xml:space="preserve">procedimenti </w:t>
      </w:r>
      <w:r w:rsidR="00AE0B43" w:rsidRPr="00504051">
        <w:t xml:space="preserve">di quelli </w:t>
      </w:r>
      <w:r w:rsidR="00531031" w:rsidRPr="00504051">
        <w:t>iscritti</w:t>
      </w:r>
      <w:r w:rsidRPr="00504051">
        <w:t xml:space="preserve"> e pertanto si è avuta </w:t>
      </w:r>
      <w:r w:rsidR="00531031" w:rsidRPr="00504051">
        <w:t xml:space="preserve">una </w:t>
      </w:r>
      <w:r w:rsidR="00531031" w:rsidRPr="00504051">
        <w:rPr>
          <w:b/>
          <w:u w:val="single"/>
        </w:rPr>
        <w:t>erosione delle pendenze</w:t>
      </w:r>
      <w:r w:rsidR="00531031" w:rsidRPr="00504051">
        <w:t>, come peraltro evidenziato nel</w:t>
      </w:r>
      <w:r w:rsidRPr="00504051">
        <w:t xml:space="preserve">lo stesso </w:t>
      </w:r>
      <w:r w:rsidR="00531031" w:rsidRPr="00504051">
        <w:t>Rapporto</w:t>
      </w:r>
      <w:r w:rsidR="00504051">
        <w:t xml:space="preserve">. </w:t>
      </w:r>
    </w:p>
    <w:p w14:paraId="1631DDCB" w14:textId="6E738B52" w:rsidR="00ED0866" w:rsidRPr="00456F5B" w:rsidRDefault="00504051" w:rsidP="00504051">
      <w:pPr>
        <w:pStyle w:val="Paragrafoelenco"/>
        <w:numPr>
          <w:ilvl w:val="0"/>
          <w:numId w:val="21"/>
        </w:numPr>
        <w:spacing w:line="312" w:lineRule="auto"/>
        <w:jc w:val="both"/>
      </w:pPr>
      <w:r w:rsidRPr="00456F5B">
        <w:t xml:space="preserve">Nella classifica EU l’Italia si colloca </w:t>
      </w:r>
      <w:r w:rsidR="00291DA8" w:rsidRPr="00456F5B">
        <w:t xml:space="preserve">al </w:t>
      </w:r>
      <w:r w:rsidR="00456F5B" w:rsidRPr="00456F5B">
        <w:t>terzo</w:t>
      </w:r>
      <w:r w:rsidR="00291DA8" w:rsidRPr="00456F5B">
        <w:t xml:space="preserve"> posto per </w:t>
      </w:r>
      <w:r w:rsidRPr="00456F5B">
        <w:t>valori del CR con riferimento ai</w:t>
      </w:r>
      <w:r w:rsidR="00291DA8" w:rsidRPr="00456F5B">
        <w:t xml:space="preserve"> procedimenti civili contenziosi in primo grado (</w:t>
      </w:r>
      <w:r w:rsidR="00291DA8" w:rsidRPr="00456F5B">
        <w:rPr>
          <w:b/>
          <w:bCs/>
        </w:rPr>
        <w:t>Fig. 12</w:t>
      </w:r>
      <w:r w:rsidR="00291DA8" w:rsidRPr="00456F5B">
        <w:t>)</w:t>
      </w:r>
    </w:p>
    <w:p w14:paraId="0F62C9AB" w14:textId="77777777" w:rsidR="00291DA8" w:rsidRPr="00456F5B" w:rsidRDefault="00291DA8" w:rsidP="00291DA8">
      <w:pPr>
        <w:pStyle w:val="Paragrafoelenco"/>
        <w:spacing w:line="312" w:lineRule="auto"/>
        <w:jc w:val="both"/>
      </w:pPr>
    </w:p>
    <w:p w14:paraId="4FDB0F12" w14:textId="51DB9F99" w:rsidR="00533357" w:rsidRDefault="00533357" w:rsidP="00533357">
      <w:pPr>
        <w:spacing w:line="312" w:lineRule="auto"/>
        <w:jc w:val="center"/>
      </w:pPr>
    </w:p>
    <w:p w14:paraId="3107A13E" w14:textId="77777777" w:rsidR="00182B9C" w:rsidRDefault="00182B9C" w:rsidP="00533357">
      <w:pPr>
        <w:spacing w:line="312" w:lineRule="auto"/>
        <w:jc w:val="center"/>
      </w:pPr>
    </w:p>
    <w:p w14:paraId="0CC1A09E" w14:textId="6383C9A5" w:rsidR="00182B9C" w:rsidRDefault="00182B9C" w:rsidP="00533357">
      <w:pPr>
        <w:spacing w:line="312" w:lineRule="auto"/>
        <w:jc w:val="center"/>
      </w:pPr>
      <w:r w:rsidRPr="00182B9C">
        <w:rPr>
          <w:noProof/>
          <w:lang w:eastAsia="it-IT"/>
        </w:rPr>
        <w:drawing>
          <wp:inline distT="0" distB="0" distL="0" distR="0" wp14:anchorId="215FACB8" wp14:editId="625EA243">
            <wp:extent cx="2695575" cy="771525"/>
            <wp:effectExtent l="0" t="0" r="9525" b="9525"/>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5575" cy="771525"/>
                    </a:xfrm>
                    <a:prstGeom prst="rect">
                      <a:avLst/>
                    </a:prstGeom>
                    <a:noFill/>
                    <a:ln>
                      <a:noFill/>
                    </a:ln>
                  </pic:spPr>
                </pic:pic>
              </a:graphicData>
            </a:graphic>
          </wp:inline>
        </w:drawing>
      </w:r>
    </w:p>
    <w:p w14:paraId="7186968F" w14:textId="77777777" w:rsidR="00182B9C" w:rsidRDefault="00182B9C" w:rsidP="00533357">
      <w:pPr>
        <w:spacing w:line="312" w:lineRule="auto"/>
        <w:jc w:val="center"/>
      </w:pPr>
    </w:p>
    <w:p w14:paraId="19F280A0" w14:textId="1D919BB3" w:rsidR="00FB62CB" w:rsidRDefault="00FB62CB" w:rsidP="00660F79">
      <w:pPr>
        <w:pStyle w:val="Paragrafoelenco"/>
        <w:spacing w:line="312" w:lineRule="auto"/>
        <w:ind w:left="0"/>
        <w:jc w:val="center"/>
      </w:pPr>
    </w:p>
    <w:p w14:paraId="6AC9FF07" w14:textId="15DCF431" w:rsidR="00660F79" w:rsidRDefault="00456F5B" w:rsidP="00660F79">
      <w:pPr>
        <w:pStyle w:val="Paragrafoelenco"/>
        <w:spacing w:line="312" w:lineRule="auto"/>
        <w:ind w:left="0"/>
        <w:jc w:val="center"/>
      </w:pPr>
      <w:r w:rsidRPr="00456F5B">
        <w:rPr>
          <w:noProof/>
        </w:rPr>
        <w:lastRenderedPageBreak/>
        <w:drawing>
          <wp:inline distT="0" distB="0" distL="0" distR="0" wp14:anchorId="5890C322" wp14:editId="35D7E973">
            <wp:extent cx="6299835" cy="2990215"/>
            <wp:effectExtent l="0" t="0" r="5715" b="635"/>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99835" cy="2990215"/>
                    </a:xfrm>
                    <a:prstGeom prst="rect">
                      <a:avLst/>
                    </a:prstGeom>
                  </pic:spPr>
                </pic:pic>
              </a:graphicData>
            </a:graphic>
          </wp:inline>
        </w:drawing>
      </w:r>
    </w:p>
    <w:p w14:paraId="62FC86BB" w14:textId="77777777" w:rsidR="00CB5D0B" w:rsidRDefault="00CB5D0B" w:rsidP="00CB5D0B">
      <w:pPr>
        <w:pStyle w:val="Paragrafoelenco"/>
        <w:spacing w:line="312" w:lineRule="auto"/>
        <w:jc w:val="both"/>
      </w:pPr>
    </w:p>
    <w:p w14:paraId="3C250F62" w14:textId="62DFC0AC" w:rsidR="00660F79" w:rsidRPr="00456F5B" w:rsidRDefault="00660F79" w:rsidP="00660F79">
      <w:pPr>
        <w:pStyle w:val="Paragrafoelenco"/>
        <w:numPr>
          <w:ilvl w:val="0"/>
          <w:numId w:val="10"/>
        </w:numPr>
        <w:spacing w:line="312" w:lineRule="auto"/>
        <w:jc w:val="both"/>
      </w:pPr>
      <w:r w:rsidRPr="00456F5B">
        <w:t xml:space="preserve">Il numero di procedimenti civili contenziosi </w:t>
      </w:r>
      <w:r w:rsidRPr="00456F5B">
        <w:rPr>
          <w:b/>
          <w:bCs/>
        </w:rPr>
        <w:t xml:space="preserve">pendenti in primo grado </w:t>
      </w:r>
      <w:r w:rsidR="00C74990" w:rsidRPr="00456F5B">
        <w:rPr>
          <w:b/>
          <w:bCs/>
        </w:rPr>
        <w:t>resta tra i più elevati</w:t>
      </w:r>
      <w:r w:rsidR="00C74990" w:rsidRPr="00456F5B">
        <w:t>, sebbene in decrescita costante nell’ultimo triennio ed in forte diminuzione rispetto al 2012. L’Italia nel rapporto si colloca penultima prima dell</w:t>
      </w:r>
      <w:r w:rsidR="0022597C">
        <w:t xml:space="preserve">a Croazia </w:t>
      </w:r>
      <w:r w:rsidR="00C74990" w:rsidRPr="00456F5B">
        <w:t>(</w:t>
      </w:r>
      <w:proofErr w:type="spellStart"/>
      <w:r w:rsidR="00C74990" w:rsidRPr="00456F5B">
        <w:t>cfr</w:t>
      </w:r>
      <w:proofErr w:type="spellEnd"/>
      <w:r w:rsidR="00C74990" w:rsidRPr="00456F5B">
        <w:t xml:space="preserve"> Fig. 15)</w:t>
      </w:r>
      <w:r w:rsidR="0056766B" w:rsidRPr="00456F5B">
        <w:t>:</w:t>
      </w:r>
    </w:p>
    <w:p w14:paraId="6C975B30" w14:textId="62DF2448" w:rsidR="00CB5D0B" w:rsidRDefault="00CB5D0B" w:rsidP="00CB5D0B">
      <w:pPr>
        <w:spacing w:line="312" w:lineRule="auto"/>
        <w:jc w:val="both"/>
      </w:pPr>
    </w:p>
    <w:p w14:paraId="79DD4F2C" w14:textId="428BCAD6" w:rsidR="00C74990" w:rsidRDefault="00456F5B" w:rsidP="007A2501">
      <w:pPr>
        <w:pStyle w:val="Paragrafoelenco"/>
        <w:spacing w:line="312" w:lineRule="auto"/>
        <w:ind w:left="284"/>
        <w:jc w:val="both"/>
      </w:pPr>
      <w:r w:rsidRPr="00456F5B">
        <w:rPr>
          <w:noProof/>
        </w:rPr>
        <w:drawing>
          <wp:inline distT="0" distB="0" distL="0" distR="0" wp14:anchorId="07F15574" wp14:editId="5FA3EE16">
            <wp:extent cx="6299835" cy="2887345"/>
            <wp:effectExtent l="0" t="0" r="5715" b="825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99835" cy="2887345"/>
                    </a:xfrm>
                    <a:prstGeom prst="rect">
                      <a:avLst/>
                    </a:prstGeom>
                  </pic:spPr>
                </pic:pic>
              </a:graphicData>
            </a:graphic>
          </wp:inline>
        </w:drawing>
      </w:r>
    </w:p>
    <w:p w14:paraId="073D449C" w14:textId="2EF1A520" w:rsidR="006B712F" w:rsidRDefault="006B712F" w:rsidP="006B712F">
      <w:pPr>
        <w:spacing w:line="312" w:lineRule="auto"/>
        <w:jc w:val="center"/>
        <w:rPr>
          <w:rFonts w:ascii="Times New Roman" w:eastAsia="Times New Roman" w:hAnsi="Times New Roman" w:cs="Times New Roman"/>
          <w:b/>
          <w:bCs/>
        </w:rPr>
      </w:pPr>
    </w:p>
    <w:p w14:paraId="2B287528" w14:textId="4A235733" w:rsidR="00F44333" w:rsidRDefault="00F44333" w:rsidP="006B712F">
      <w:pPr>
        <w:spacing w:line="312" w:lineRule="auto"/>
        <w:jc w:val="center"/>
        <w:rPr>
          <w:rFonts w:ascii="Times New Roman" w:eastAsia="Times New Roman" w:hAnsi="Times New Roman" w:cs="Times New Roman"/>
          <w:b/>
          <w:bCs/>
        </w:rPr>
      </w:pPr>
    </w:p>
    <w:p w14:paraId="4C2475F6" w14:textId="7E3F0374" w:rsidR="0056766B" w:rsidRPr="003067EF" w:rsidRDefault="0056766B" w:rsidP="0056766B">
      <w:pPr>
        <w:pStyle w:val="Paragrafoelenco"/>
        <w:numPr>
          <w:ilvl w:val="0"/>
          <w:numId w:val="10"/>
        </w:numPr>
        <w:spacing w:line="312" w:lineRule="auto"/>
        <w:jc w:val="both"/>
        <w:rPr>
          <w:rFonts w:eastAsia="Times New Roman"/>
          <w:bCs/>
          <w:noProof/>
        </w:rPr>
      </w:pPr>
      <w:r w:rsidRPr="003067EF">
        <w:t xml:space="preserve">Di seguito le immagini </w:t>
      </w:r>
      <w:r w:rsidR="003067EF" w:rsidRPr="003067EF">
        <w:t>34 e 35</w:t>
      </w:r>
      <w:r w:rsidRPr="003067EF">
        <w:t xml:space="preserve"> permettono di apprezzare l’entità della spesa pubblica per il funzionamento del</w:t>
      </w:r>
      <w:r w:rsidRPr="003067EF">
        <w:rPr>
          <w:rFonts w:eastAsia="Times New Roman"/>
          <w:bCs/>
          <w:noProof/>
        </w:rPr>
        <w:t xml:space="preserve"> sistema giudiziario (con esclusione del settore delle carceri): investimenti in infrastrutture tecniche, materiali e in tutto ciò che concerne il personale (retribuzione, formazione e addestramento). </w:t>
      </w:r>
    </w:p>
    <w:p w14:paraId="2DCE2AA5" w14:textId="68B3FB6F" w:rsidR="0056766B" w:rsidRDefault="0056766B" w:rsidP="0056766B">
      <w:pPr>
        <w:spacing w:line="312" w:lineRule="auto"/>
        <w:ind w:left="709"/>
        <w:jc w:val="both"/>
        <w:rPr>
          <w:rFonts w:ascii="Times New Roman" w:eastAsia="Times New Roman" w:hAnsi="Times New Roman" w:cs="Times New Roman"/>
          <w:bCs/>
          <w:noProof/>
          <w:sz w:val="24"/>
          <w:szCs w:val="24"/>
          <w:lang w:eastAsia="it-IT"/>
        </w:rPr>
      </w:pPr>
      <w:r w:rsidRPr="003067EF">
        <w:rPr>
          <w:rFonts w:ascii="Times New Roman" w:eastAsia="Times New Roman" w:hAnsi="Times New Roman" w:cs="Times New Roman"/>
          <w:bCs/>
          <w:noProof/>
          <w:sz w:val="24"/>
          <w:szCs w:val="24"/>
          <w:lang w:eastAsia="it-IT"/>
        </w:rPr>
        <w:t>Dalla lettura del primo grafico, dove la spesa totale è espressa per abitante, emerge che l’Italia si colloca tra i primi dieci paesi per spesa nel 20</w:t>
      </w:r>
      <w:r w:rsidR="003067EF" w:rsidRPr="003067EF">
        <w:rPr>
          <w:rFonts w:ascii="Times New Roman" w:eastAsia="Times New Roman" w:hAnsi="Times New Roman" w:cs="Times New Roman"/>
          <w:bCs/>
          <w:noProof/>
          <w:sz w:val="24"/>
          <w:szCs w:val="24"/>
          <w:lang w:eastAsia="it-IT"/>
        </w:rPr>
        <w:t>20</w:t>
      </w:r>
      <w:r w:rsidRPr="003067EF">
        <w:rPr>
          <w:rFonts w:ascii="Times New Roman" w:eastAsia="Times New Roman" w:hAnsi="Times New Roman" w:cs="Times New Roman"/>
          <w:bCs/>
          <w:noProof/>
          <w:sz w:val="24"/>
          <w:szCs w:val="24"/>
          <w:lang w:eastAsia="it-IT"/>
        </w:rPr>
        <w:t xml:space="preserve"> con un trend decisamente positivo conforntando </w:t>
      </w:r>
      <w:r w:rsidRPr="003067EF">
        <w:rPr>
          <w:rFonts w:ascii="Times New Roman" w:eastAsia="Times New Roman" w:hAnsi="Times New Roman" w:cs="Times New Roman"/>
          <w:bCs/>
          <w:noProof/>
          <w:sz w:val="24"/>
          <w:szCs w:val="24"/>
          <w:lang w:eastAsia="it-IT"/>
        </w:rPr>
        <w:lastRenderedPageBreak/>
        <w:t>i dati 2012, 2017, 2018 e 2019</w:t>
      </w:r>
      <w:r w:rsidR="003067EF" w:rsidRPr="003067EF">
        <w:rPr>
          <w:rFonts w:ascii="Times New Roman" w:eastAsia="Times New Roman" w:hAnsi="Times New Roman" w:cs="Times New Roman"/>
          <w:bCs/>
          <w:noProof/>
          <w:sz w:val="24"/>
          <w:szCs w:val="24"/>
          <w:lang w:eastAsia="it-IT"/>
        </w:rPr>
        <w:t>, con una</w:t>
      </w:r>
      <w:r w:rsidR="0022597C">
        <w:rPr>
          <w:rFonts w:ascii="Times New Roman" w:eastAsia="Times New Roman" w:hAnsi="Times New Roman" w:cs="Times New Roman"/>
          <w:bCs/>
          <w:noProof/>
          <w:sz w:val="24"/>
          <w:szCs w:val="24"/>
          <w:lang w:eastAsia="it-IT"/>
        </w:rPr>
        <w:t xml:space="preserve"> </w:t>
      </w:r>
      <w:r w:rsidR="003067EF" w:rsidRPr="003067EF">
        <w:rPr>
          <w:rFonts w:ascii="Times New Roman" w:eastAsia="Times New Roman" w:hAnsi="Times New Roman" w:cs="Times New Roman"/>
          <w:bCs/>
          <w:noProof/>
          <w:sz w:val="24"/>
          <w:szCs w:val="24"/>
          <w:lang w:eastAsia="it-IT"/>
        </w:rPr>
        <w:t>leggera flessione nell’anno 2020</w:t>
      </w:r>
      <w:r w:rsidRPr="003067EF">
        <w:rPr>
          <w:rFonts w:ascii="Times New Roman" w:eastAsia="Times New Roman" w:hAnsi="Times New Roman" w:cs="Times New Roman"/>
          <w:bCs/>
          <w:noProof/>
          <w:sz w:val="24"/>
          <w:szCs w:val="24"/>
          <w:lang w:eastAsia="it-IT"/>
        </w:rPr>
        <w:t>.  Analoga considerazione è va</w:t>
      </w:r>
      <w:r w:rsidR="003067EF" w:rsidRPr="003067EF">
        <w:rPr>
          <w:rFonts w:ascii="Times New Roman" w:eastAsia="Times New Roman" w:hAnsi="Times New Roman" w:cs="Times New Roman"/>
          <w:bCs/>
          <w:noProof/>
          <w:sz w:val="24"/>
          <w:szCs w:val="24"/>
          <w:lang w:eastAsia="it-IT"/>
        </w:rPr>
        <w:t>lida se si guarda alla figura 35</w:t>
      </w:r>
      <w:r w:rsidRPr="003067EF">
        <w:rPr>
          <w:rFonts w:ascii="Times New Roman" w:eastAsia="Times New Roman" w:hAnsi="Times New Roman" w:cs="Times New Roman"/>
          <w:bCs/>
          <w:noProof/>
          <w:sz w:val="24"/>
          <w:szCs w:val="24"/>
          <w:lang w:eastAsia="it-IT"/>
        </w:rPr>
        <w:t xml:space="preserve">, dove è mostrato l’andamento della spesa totale rispetto al Pil: in questa seconda prospettiva l’Italia si colloca </w:t>
      </w:r>
      <w:r w:rsidR="003067EF" w:rsidRPr="003067EF">
        <w:rPr>
          <w:rFonts w:ascii="Times New Roman" w:eastAsia="Times New Roman" w:hAnsi="Times New Roman" w:cs="Times New Roman"/>
          <w:bCs/>
          <w:noProof/>
          <w:sz w:val="24"/>
          <w:szCs w:val="24"/>
          <w:lang w:eastAsia="it-IT"/>
        </w:rPr>
        <w:t>al tredicesimo</w:t>
      </w:r>
      <w:r w:rsidRPr="003067EF">
        <w:rPr>
          <w:rFonts w:ascii="Times New Roman" w:eastAsia="Times New Roman" w:hAnsi="Times New Roman" w:cs="Times New Roman"/>
          <w:bCs/>
          <w:noProof/>
          <w:sz w:val="24"/>
          <w:szCs w:val="24"/>
          <w:lang w:eastAsia="it-IT"/>
        </w:rPr>
        <w:t xml:space="preserve"> posto rispetto alla spesa del 20</w:t>
      </w:r>
      <w:r w:rsidR="003067EF" w:rsidRPr="003067EF">
        <w:rPr>
          <w:rFonts w:ascii="Times New Roman" w:eastAsia="Times New Roman" w:hAnsi="Times New Roman" w:cs="Times New Roman"/>
          <w:bCs/>
          <w:noProof/>
          <w:sz w:val="24"/>
          <w:szCs w:val="24"/>
          <w:lang w:eastAsia="it-IT"/>
        </w:rPr>
        <w:t>20</w:t>
      </w:r>
      <w:r w:rsidRPr="003067EF">
        <w:rPr>
          <w:rFonts w:ascii="Times New Roman" w:eastAsia="Times New Roman" w:hAnsi="Times New Roman" w:cs="Times New Roman"/>
          <w:bCs/>
          <w:noProof/>
          <w:sz w:val="24"/>
          <w:szCs w:val="24"/>
          <w:lang w:eastAsia="it-IT"/>
        </w:rPr>
        <w:t>.</w:t>
      </w:r>
    </w:p>
    <w:p w14:paraId="79F925A4" w14:textId="77777777" w:rsidR="008651CD" w:rsidRDefault="008651CD" w:rsidP="0056766B">
      <w:pPr>
        <w:spacing w:line="312" w:lineRule="auto"/>
        <w:ind w:left="709"/>
        <w:jc w:val="both"/>
        <w:rPr>
          <w:rFonts w:ascii="Times New Roman" w:eastAsia="Times New Roman" w:hAnsi="Times New Roman" w:cs="Times New Roman"/>
          <w:bCs/>
          <w:noProof/>
          <w:sz w:val="24"/>
          <w:szCs w:val="24"/>
          <w:lang w:eastAsia="it-IT"/>
        </w:rPr>
      </w:pPr>
    </w:p>
    <w:p w14:paraId="662610D8" w14:textId="0AE5155A" w:rsidR="008651CD" w:rsidRPr="0056766B" w:rsidRDefault="003067EF" w:rsidP="007A2501">
      <w:pPr>
        <w:spacing w:line="312" w:lineRule="auto"/>
        <w:ind w:left="284"/>
        <w:jc w:val="both"/>
        <w:rPr>
          <w:rFonts w:ascii="Times New Roman" w:eastAsia="Times New Roman" w:hAnsi="Times New Roman" w:cs="Times New Roman"/>
          <w:bCs/>
          <w:noProof/>
          <w:sz w:val="24"/>
          <w:szCs w:val="24"/>
          <w:lang w:eastAsia="it-IT"/>
        </w:rPr>
      </w:pPr>
      <w:r w:rsidRPr="003067EF">
        <w:rPr>
          <w:rFonts w:ascii="Times New Roman" w:eastAsia="Times New Roman" w:hAnsi="Times New Roman" w:cs="Times New Roman"/>
          <w:bCs/>
          <w:noProof/>
          <w:sz w:val="24"/>
          <w:szCs w:val="24"/>
          <w:lang w:eastAsia="it-IT"/>
        </w:rPr>
        <w:drawing>
          <wp:inline distT="0" distB="0" distL="0" distR="0" wp14:anchorId="1170C3B0" wp14:editId="74005933">
            <wp:extent cx="6299835" cy="3169285"/>
            <wp:effectExtent l="0" t="0" r="5715" b="0"/>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99835" cy="3169285"/>
                    </a:xfrm>
                    <a:prstGeom prst="rect">
                      <a:avLst/>
                    </a:prstGeom>
                  </pic:spPr>
                </pic:pic>
              </a:graphicData>
            </a:graphic>
          </wp:inline>
        </w:drawing>
      </w:r>
    </w:p>
    <w:p w14:paraId="62C91902" w14:textId="77777777" w:rsidR="00F44333" w:rsidRDefault="00F44333" w:rsidP="00F44333">
      <w:pPr>
        <w:spacing w:line="312" w:lineRule="auto"/>
        <w:jc w:val="center"/>
        <w:rPr>
          <w:rFonts w:ascii="Times New Roman" w:eastAsia="Times New Roman" w:hAnsi="Times New Roman" w:cs="Times New Roman"/>
          <w:b/>
          <w:bCs/>
          <w:noProof/>
          <w:lang w:eastAsia="it-IT"/>
        </w:rPr>
      </w:pPr>
    </w:p>
    <w:p w14:paraId="57D146CE" w14:textId="20AC8B0F" w:rsidR="00F44333" w:rsidRDefault="003067EF" w:rsidP="00F44333">
      <w:pPr>
        <w:spacing w:line="312" w:lineRule="auto"/>
        <w:jc w:val="center"/>
        <w:rPr>
          <w:rFonts w:ascii="Times New Roman" w:eastAsia="Times New Roman" w:hAnsi="Times New Roman" w:cs="Times New Roman"/>
          <w:b/>
          <w:bCs/>
        </w:rPr>
      </w:pPr>
      <w:r w:rsidRPr="003067EF">
        <w:rPr>
          <w:rFonts w:ascii="Times New Roman" w:eastAsia="Times New Roman" w:hAnsi="Times New Roman" w:cs="Times New Roman"/>
          <w:b/>
          <w:bCs/>
          <w:noProof/>
        </w:rPr>
        <w:drawing>
          <wp:inline distT="0" distB="0" distL="0" distR="0" wp14:anchorId="165F6FC1" wp14:editId="76FE467C">
            <wp:extent cx="6299835" cy="2951480"/>
            <wp:effectExtent l="0" t="0" r="5715" b="127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99835" cy="2951480"/>
                    </a:xfrm>
                    <a:prstGeom prst="rect">
                      <a:avLst/>
                    </a:prstGeom>
                  </pic:spPr>
                </pic:pic>
              </a:graphicData>
            </a:graphic>
          </wp:inline>
        </w:drawing>
      </w:r>
    </w:p>
    <w:p w14:paraId="48D51DF0" w14:textId="2BCE05F0" w:rsidR="00F44333" w:rsidRDefault="00F44333" w:rsidP="006B712F">
      <w:pPr>
        <w:spacing w:line="312" w:lineRule="auto"/>
        <w:jc w:val="center"/>
        <w:rPr>
          <w:rFonts w:ascii="Times New Roman" w:eastAsia="Times New Roman" w:hAnsi="Times New Roman" w:cs="Times New Roman"/>
          <w:b/>
          <w:bCs/>
        </w:rPr>
      </w:pPr>
      <w:r>
        <w:rPr>
          <w:rFonts w:ascii="Times New Roman" w:eastAsia="Times New Roman" w:hAnsi="Times New Roman" w:cs="Times New Roman"/>
          <w:b/>
          <w:bCs/>
          <w:noProof/>
          <w:lang w:eastAsia="it-IT"/>
        </w:rPr>
        <w:lastRenderedPageBreak/>
        <w:drawing>
          <wp:inline distT="0" distB="0" distL="0" distR="0" wp14:anchorId="26A07C17" wp14:editId="232DB0A2">
            <wp:extent cx="5512656" cy="2914412"/>
            <wp:effectExtent l="0" t="0" r="0" b="63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30.JPG"/>
                    <pic:cNvPicPr/>
                  </pic:nvPicPr>
                  <pic:blipFill>
                    <a:blip r:embed="rId19">
                      <a:extLst>
                        <a:ext uri="{28A0092B-C50C-407E-A947-70E740481C1C}">
                          <a14:useLocalDpi xmlns:a14="http://schemas.microsoft.com/office/drawing/2010/main" val="0"/>
                        </a:ext>
                      </a:extLst>
                    </a:blip>
                    <a:stretch>
                      <a:fillRect/>
                    </a:stretch>
                  </pic:blipFill>
                  <pic:spPr>
                    <a:xfrm>
                      <a:off x="0" y="0"/>
                      <a:ext cx="5521201" cy="2918930"/>
                    </a:xfrm>
                    <a:prstGeom prst="rect">
                      <a:avLst/>
                    </a:prstGeom>
                  </pic:spPr>
                </pic:pic>
              </a:graphicData>
            </a:graphic>
          </wp:inline>
        </w:drawing>
      </w:r>
    </w:p>
    <w:p w14:paraId="19C6875B" w14:textId="420DAB71" w:rsidR="007332B2" w:rsidRDefault="007332B2" w:rsidP="006B712F">
      <w:pPr>
        <w:spacing w:line="312" w:lineRule="auto"/>
        <w:jc w:val="center"/>
        <w:rPr>
          <w:rFonts w:ascii="Times New Roman" w:eastAsia="Times New Roman" w:hAnsi="Times New Roman" w:cs="Times New Roman"/>
          <w:b/>
          <w:bCs/>
        </w:rPr>
      </w:pPr>
    </w:p>
    <w:p w14:paraId="2176E86B" w14:textId="69BF0698" w:rsidR="00CB5D0B" w:rsidRDefault="00CB5D0B" w:rsidP="006B712F">
      <w:pPr>
        <w:spacing w:line="312" w:lineRule="auto"/>
        <w:jc w:val="center"/>
        <w:rPr>
          <w:rFonts w:ascii="Times New Roman" w:eastAsia="Times New Roman" w:hAnsi="Times New Roman" w:cs="Times New Roman"/>
          <w:b/>
          <w:bCs/>
        </w:rPr>
      </w:pPr>
    </w:p>
    <w:p w14:paraId="5E656A60" w14:textId="77777777" w:rsidR="001C4C1C" w:rsidRPr="00A364D9" w:rsidRDefault="001C4C1C" w:rsidP="001C4C1C">
      <w:pPr>
        <w:pStyle w:val="Paragrafoelenco"/>
        <w:numPr>
          <w:ilvl w:val="0"/>
          <w:numId w:val="17"/>
        </w:numPr>
        <w:spacing w:line="312" w:lineRule="auto"/>
        <w:jc w:val="both"/>
        <w:rPr>
          <w:b/>
        </w:rPr>
      </w:pPr>
      <w:r w:rsidRPr="00A364D9">
        <w:rPr>
          <w:b/>
        </w:rPr>
        <w:t>Digitalizzazione</w:t>
      </w:r>
    </w:p>
    <w:p w14:paraId="73AEBEB6" w14:textId="77777777" w:rsidR="001C4C1C" w:rsidRPr="00A364D9" w:rsidRDefault="001C4C1C" w:rsidP="001C4C1C">
      <w:pPr>
        <w:pStyle w:val="Paragrafoelenco"/>
        <w:spacing w:line="312" w:lineRule="auto"/>
        <w:ind w:left="142"/>
        <w:jc w:val="both"/>
        <w:rPr>
          <w:rFonts w:eastAsia="Times New Roman"/>
          <w:b/>
          <w:bCs/>
        </w:rPr>
      </w:pPr>
    </w:p>
    <w:p w14:paraId="11D74428" w14:textId="77777777" w:rsidR="001C4C1C" w:rsidRPr="00A364D9" w:rsidRDefault="001C4C1C" w:rsidP="001C4C1C">
      <w:pPr>
        <w:pStyle w:val="Paragrafoelenco"/>
        <w:numPr>
          <w:ilvl w:val="0"/>
          <w:numId w:val="19"/>
        </w:numPr>
        <w:spacing w:line="312" w:lineRule="auto"/>
        <w:ind w:left="142"/>
        <w:jc w:val="both"/>
        <w:rPr>
          <w:rFonts w:eastAsia="Times New Roman"/>
          <w:b/>
          <w:bCs/>
        </w:rPr>
      </w:pPr>
      <w:r w:rsidRPr="00A364D9">
        <w:rPr>
          <w:rFonts w:eastAsia="Times New Roman"/>
          <w:b/>
          <w:bCs/>
        </w:rPr>
        <w:t>In questo ambito complessivamente l’Italia riceve una valutazione positiva per quanto riguarda il settore civile; alcuni ritardi emergono per il settore penale.</w:t>
      </w:r>
    </w:p>
    <w:p w14:paraId="0A5E65B6" w14:textId="77777777" w:rsidR="001C4C1C" w:rsidRPr="00A364D9" w:rsidRDefault="001C4C1C" w:rsidP="001C4C1C">
      <w:pPr>
        <w:spacing w:line="312" w:lineRule="auto"/>
        <w:jc w:val="both"/>
        <w:rPr>
          <w:rFonts w:ascii="Times New Roman" w:eastAsia="Times New Roman" w:hAnsi="Times New Roman" w:cs="Times New Roman"/>
        </w:rPr>
      </w:pPr>
    </w:p>
    <w:p w14:paraId="682B88D3" w14:textId="6B6C5C3D" w:rsidR="001C4C1C" w:rsidRPr="00537C60" w:rsidRDefault="00537C60" w:rsidP="00C14324">
      <w:pPr>
        <w:pStyle w:val="Paragrafoelenco"/>
        <w:numPr>
          <w:ilvl w:val="0"/>
          <w:numId w:val="23"/>
        </w:numPr>
        <w:spacing w:line="312" w:lineRule="auto"/>
        <w:ind w:left="709"/>
        <w:jc w:val="both"/>
        <w:rPr>
          <w:rFonts w:eastAsia="Times New Roman"/>
        </w:rPr>
      </w:pPr>
      <w:r w:rsidRPr="00537C60">
        <w:rPr>
          <w:rFonts w:eastAsia="Times New Roman"/>
        </w:rPr>
        <w:t>In particolare, l’Italia si colloca in una posizione intermedia per quanto riguarda la disponibilità di informazioni on-line liberamente accessibili al pubblico concernenti il funzionamento del sistema giudiziario (civile penale e amministrativo) (</w:t>
      </w:r>
      <w:r w:rsidRPr="00537C60">
        <w:rPr>
          <w:rFonts w:eastAsia="Times New Roman"/>
          <w:b/>
          <w:bCs/>
        </w:rPr>
        <w:t>Fig.41</w:t>
      </w:r>
      <w:r w:rsidRPr="00537C60">
        <w:rPr>
          <w:rFonts w:eastAsia="Times New Roman"/>
        </w:rPr>
        <w:t>). Il leggero peggioramento rispetto all’anno scorso è in parte dovuto all’introduzione di 5 nuovi elementi di valutazione (che passano da 6 a 11).</w:t>
      </w:r>
    </w:p>
    <w:p w14:paraId="692D06DA" w14:textId="77777777" w:rsidR="001C4C1C" w:rsidRPr="00A364D9" w:rsidRDefault="001C4C1C" w:rsidP="001C4C1C">
      <w:pPr>
        <w:spacing w:line="312" w:lineRule="auto"/>
        <w:ind w:left="142"/>
        <w:jc w:val="both"/>
        <w:rPr>
          <w:rFonts w:ascii="Times New Roman" w:eastAsia="Times New Roman" w:hAnsi="Times New Roman" w:cs="Times New Roman"/>
        </w:rPr>
      </w:pPr>
      <w:r w:rsidRPr="00A364D9">
        <w:rPr>
          <w:noProof/>
          <w:lang w:eastAsia="it-IT"/>
        </w:rPr>
        <w:drawing>
          <wp:inline distT="0" distB="0" distL="0" distR="0" wp14:anchorId="4677625C" wp14:editId="1429E91D">
            <wp:extent cx="6162261" cy="3023054"/>
            <wp:effectExtent l="0" t="0" r="0" b="635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70102" cy="3026901"/>
                    </a:xfrm>
                    <a:prstGeom prst="rect">
                      <a:avLst/>
                    </a:prstGeom>
                  </pic:spPr>
                </pic:pic>
              </a:graphicData>
            </a:graphic>
          </wp:inline>
        </w:drawing>
      </w:r>
    </w:p>
    <w:p w14:paraId="7F6CD13A" w14:textId="77777777" w:rsidR="001C4C1C" w:rsidRPr="00A364D9" w:rsidRDefault="001C4C1C" w:rsidP="001C4C1C">
      <w:pPr>
        <w:spacing w:line="312" w:lineRule="auto"/>
        <w:ind w:left="-284"/>
        <w:jc w:val="both"/>
        <w:rPr>
          <w:rFonts w:ascii="Times New Roman" w:eastAsia="Times New Roman" w:hAnsi="Times New Roman" w:cs="Times New Roman"/>
        </w:rPr>
      </w:pPr>
    </w:p>
    <w:p w14:paraId="0CA39DD4" w14:textId="77777777" w:rsidR="001C4C1C" w:rsidRPr="00A364D9" w:rsidRDefault="001C4C1C" w:rsidP="001C4C1C">
      <w:pPr>
        <w:spacing w:line="312" w:lineRule="auto"/>
        <w:ind w:left="709"/>
        <w:jc w:val="both"/>
        <w:rPr>
          <w:rFonts w:ascii="Times New Roman" w:eastAsia="Times New Roman" w:hAnsi="Times New Roman" w:cs="Times New Roman"/>
        </w:rPr>
      </w:pPr>
      <w:r w:rsidRPr="00A364D9">
        <w:rPr>
          <w:rFonts w:ascii="Times New Roman" w:eastAsia="Times New Roman" w:hAnsi="Times New Roman" w:cs="Times New Roman"/>
        </w:rPr>
        <w:t xml:space="preserve">- l’introduzione di regole procedurali che consentono l’utilizzo di tecnologie digitali in ambito civile; </w:t>
      </w:r>
      <w:r w:rsidRPr="00A364D9">
        <w:rPr>
          <w:rFonts w:ascii="Times New Roman" w:eastAsia="Times New Roman" w:hAnsi="Times New Roman" w:cs="Times New Roman"/>
          <w:i/>
          <w:iCs/>
        </w:rPr>
        <w:t>con riguardo a questo aspetto, l’Italia risulta penalizzata dal fatto che non è ammessa la possibilità di ascoltare i testimoni mediante tecnologie di comunicazione a distanza</w:t>
      </w:r>
      <w:r w:rsidRPr="00A364D9">
        <w:rPr>
          <w:rFonts w:ascii="Times New Roman" w:eastAsia="Times New Roman" w:hAnsi="Times New Roman" w:cs="Times New Roman"/>
        </w:rPr>
        <w:t xml:space="preserve"> (</w:t>
      </w:r>
      <w:r w:rsidRPr="00A364D9">
        <w:rPr>
          <w:rFonts w:ascii="Times New Roman" w:eastAsia="Times New Roman" w:hAnsi="Times New Roman" w:cs="Times New Roman"/>
          <w:b/>
          <w:bCs/>
        </w:rPr>
        <w:t>Fig. 42</w:t>
      </w:r>
      <w:r w:rsidRPr="00A364D9">
        <w:rPr>
          <w:rFonts w:ascii="Times New Roman" w:eastAsia="Times New Roman" w:hAnsi="Times New Roman" w:cs="Times New Roman"/>
        </w:rPr>
        <w:t>);</w:t>
      </w:r>
    </w:p>
    <w:p w14:paraId="6CBBE45C" w14:textId="77777777" w:rsidR="001C4C1C" w:rsidRPr="00A364D9" w:rsidRDefault="001C4C1C" w:rsidP="009B70E1">
      <w:pPr>
        <w:spacing w:line="312" w:lineRule="auto"/>
        <w:ind w:left="709"/>
        <w:jc w:val="center"/>
        <w:rPr>
          <w:rFonts w:ascii="Times New Roman" w:eastAsia="Times New Roman" w:hAnsi="Times New Roman" w:cs="Times New Roman"/>
        </w:rPr>
      </w:pPr>
      <w:r w:rsidRPr="00A364D9">
        <w:rPr>
          <w:noProof/>
          <w:lang w:eastAsia="it-IT"/>
        </w:rPr>
        <w:drawing>
          <wp:inline distT="0" distB="0" distL="0" distR="0" wp14:anchorId="7B00DC8C" wp14:editId="6E9C6FFF">
            <wp:extent cx="5240511" cy="2481068"/>
            <wp:effectExtent l="0" t="0" r="0" b="0"/>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43925" cy="2482684"/>
                    </a:xfrm>
                    <a:prstGeom prst="rect">
                      <a:avLst/>
                    </a:prstGeom>
                  </pic:spPr>
                </pic:pic>
              </a:graphicData>
            </a:graphic>
          </wp:inline>
        </w:drawing>
      </w:r>
    </w:p>
    <w:p w14:paraId="7F348BA3" w14:textId="77777777" w:rsidR="001C4C1C" w:rsidRPr="00A364D9" w:rsidRDefault="001C4C1C" w:rsidP="001C4C1C">
      <w:pPr>
        <w:spacing w:line="312" w:lineRule="auto"/>
        <w:ind w:left="709"/>
        <w:jc w:val="both"/>
        <w:rPr>
          <w:rFonts w:ascii="Times New Roman" w:eastAsia="Times New Roman" w:hAnsi="Times New Roman" w:cs="Times New Roman"/>
        </w:rPr>
      </w:pPr>
    </w:p>
    <w:p w14:paraId="31A1D028" w14:textId="733AFF1B" w:rsidR="001C4C1C" w:rsidRPr="00A364D9" w:rsidRDefault="001C4C1C" w:rsidP="001C4C1C">
      <w:pPr>
        <w:pStyle w:val="Paragrafoelenco"/>
        <w:numPr>
          <w:ilvl w:val="0"/>
          <w:numId w:val="20"/>
        </w:numPr>
        <w:spacing w:line="312" w:lineRule="auto"/>
        <w:jc w:val="both"/>
        <w:rPr>
          <w:rFonts w:eastAsia="Times New Roman"/>
        </w:rPr>
      </w:pPr>
      <w:r w:rsidRPr="00A364D9">
        <w:rPr>
          <w:rFonts w:eastAsia="Times New Roman"/>
        </w:rPr>
        <w:t>l’accesso online alle sentenze civili e amministrative da parte del pubblico (</w:t>
      </w:r>
      <w:r w:rsidRPr="00A364D9">
        <w:rPr>
          <w:rFonts w:eastAsia="Times New Roman"/>
          <w:b/>
          <w:bCs/>
        </w:rPr>
        <w:t>Fig. 48</w:t>
      </w:r>
      <w:r w:rsidRPr="00A364D9">
        <w:rPr>
          <w:rFonts w:eastAsia="Times New Roman"/>
        </w:rPr>
        <w:t>)</w:t>
      </w:r>
      <w:r w:rsidR="00537C60">
        <w:rPr>
          <w:rFonts w:eastAsia="Times New Roman"/>
        </w:rPr>
        <w:t xml:space="preserve">. </w:t>
      </w:r>
      <w:r w:rsidR="00537C60" w:rsidRPr="00537C60">
        <w:rPr>
          <w:rFonts w:eastAsia="Times New Roman"/>
        </w:rPr>
        <w:t xml:space="preserve">L’introduzione dell’Archivio Giurisprudenziale Nazionale (ovvero della Banca dati giurisprudenza di merito) accessibile a tutti i cittadini sul Portale Servizi Telematici del Ministero della Giustizia (pst.giustizia.it) tramite SPID ha consentito all’Italia di migliorare </w:t>
      </w:r>
      <w:r w:rsidR="00537C60">
        <w:rPr>
          <w:rFonts w:eastAsia="Times New Roman"/>
        </w:rPr>
        <w:t xml:space="preserve">un poco </w:t>
      </w:r>
      <w:r w:rsidR="00537C60" w:rsidRPr="00537C60">
        <w:rPr>
          <w:rFonts w:eastAsia="Times New Roman"/>
        </w:rPr>
        <w:t>la propria posizione nello scenario europeo:</w:t>
      </w:r>
    </w:p>
    <w:p w14:paraId="14A31563" w14:textId="77777777" w:rsidR="001C4C1C" w:rsidRPr="00A364D9" w:rsidRDefault="001C4C1C" w:rsidP="001C4C1C">
      <w:pPr>
        <w:pStyle w:val="Paragrafoelenco"/>
        <w:spacing w:line="312" w:lineRule="auto"/>
        <w:ind w:left="1069"/>
        <w:jc w:val="both"/>
        <w:rPr>
          <w:rFonts w:eastAsia="Times New Roman"/>
        </w:rPr>
      </w:pPr>
    </w:p>
    <w:p w14:paraId="27BB6214" w14:textId="77777777" w:rsidR="001C4C1C" w:rsidRPr="00A364D9" w:rsidRDefault="001C4C1C" w:rsidP="009B70E1">
      <w:pPr>
        <w:pStyle w:val="Paragrafoelenco"/>
        <w:spacing w:line="312" w:lineRule="auto"/>
        <w:ind w:left="1069" w:hanging="785"/>
        <w:jc w:val="center"/>
        <w:rPr>
          <w:rFonts w:eastAsia="Times New Roman"/>
        </w:rPr>
      </w:pPr>
      <w:r w:rsidRPr="00A364D9">
        <w:rPr>
          <w:noProof/>
        </w:rPr>
        <w:drawing>
          <wp:inline distT="0" distB="0" distL="0" distR="0" wp14:anchorId="405298D2" wp14:editId="1BD80D16">
            <wp:extent cx="5440296" cy="2240606"/>
            <wp:effectExtent l="0" t="0" r="8255" b="7620"/>
            <wp:docPr id="30" name="Immagine 30"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magine 20" descr="Immagine che contiene tavolo&#10;&#10;Descrizione generata automaticamente"/>
                    <pic:cNvPicPr/>
                  </pic:nvPicPr>
                  <pic:blipFill>
                    <a:blip r:embed="rId22"/>
                    <a:stretch>
                      <a:fillRect/>
                    </a:stretch>
                  </pic:blipFill>
                  <pic:spPr>
                    <a:xfrm>
                      <a:off x="0" y="0"/>
                      <a:ext cx="5450328" cy="2244738"/>
                    </a:xfrm>
                    <a:prstGeom prst="rect">
                      <a:avLst/>
                    </a:prstGeom>
                  </pic:spPr>
                </pic:pic>
              </a:graphicData>
            </a:graphic>
          </wp:inline>
        </w:drawing>
      </w:r>
    </w:p>
    <w:p w14:paraId="54CE3CAC" w14:textId="77777777" w:rsidR="001C4C1C" w:rsidRPr="00A364D9" w:rsidRDefault="001C4C1C" w:rsidP="001C4C1C">
      <w:pPr>
        <w:spacing w:line="312" w:lineRule="auto"/>
        <w:ind w:left="709"/>
        <w:jc w:val="both"/>
        <w:rPr>
          <w:rFonts w:ascii="Times New Roman" w:eastAsia="Times New Roman" w:hAnsi="Times New Roman" w:cs="Times New Roman"/>
        </w:rPr>
      </w:pPr>
    </w:p>
    <w:p w14:paraId="45007339" w14:textId="77777777" w:rsidR="001C4C1C" w:rsidRPr="00A364D9" w:rsidRDefault="001C4C1C" w:rsidP="001C4C1C">
      <w:pPr>
        <w:spacing w:line="312" w:lineRule="auto"/>
        <w:ind w:left="709"/>
        <w:jc w:val="both"/>
        <w:rPr>
          <w:rFonts w:ascii="Times New Roman" w:eastAsia="Times New Roman" w:hAnsi="Times New Roman" w:cs="Times New Roman"/>
        </w:rPr>
      </w:pPr>
      <w:r w:rsidRPr="00A364D9">
        <w:rPr>
          <w:rFonts w:ascii="Times New Roman" w:eastAsia="Times New Roman" w:hAnsi="Times New Roman" w:cs="Times New Roman"/>
        </w:rPr>
        <w:t>La disponibilità in ambito civile di strumenti digitali per avviare e seguire l’iter della procedura (</w:t>
      </w:r>
      <w:r w:rsidRPr="00A364D9">
        <w:rPr>
          <w:rFonts w:ascii="Times New Roman" w:eastAsia="Times New Roman" w:hAnsi="Times New Roman" w:cs="Times New Roman"/>
          <w:b/>
          <w:bCs/>
        </w:rPr>
        <w:t>PCT</w:t>
      </w:r>
      <w:r w:rsidRPr="00A364D9">
        <w:rPr>
          <w:rFonts w:ascii="Times New Roman" w:eastAsia="Times New Roman" w:hAnsi="Times New Roman" w:cs="Times New Roman"/>
        </w:rPr>
        <w:t>) vede l’Italia al quarto posto (</w:t>
      </w:r>
      <w:r w:rsidRPr="00A364D9">
        <w:rPr>
          <w:rFonts w:ascii="Times New Roman" w:eastAsia="Times New Roman" w:hAnsi="Times New Roman" w:cs="Times New Roman"/>
          <w:b/>
          <w:bCs/>
        </w:rPr>
        <w:t>Fig. 46</w:t>
      </w:r>
      <w:r w:rsidRPr="00A364D9">
        <w:rPr>
          <w:rFonts w:ascii="Times New Roman" w:eastAsia="Times New Roman" w:hAnsi="Times New Roman" w:cs="Times New Roman"/>
        </w:rPr>
        <w:t>)</w:t>
      </w:r>
    </w:p>
    <w:p w14:paraId="3D512268" w14:textId="77777777" w:rsidR="001C4C1C" w:rsidRPr="00A364D9" w:rsidRDefault="001C4C1C" w:rsidP="001C4C1C">
      <w:pPr>
        <w:spacing w:line="312" w:lineRule="auto"/>
        <w:ind w:left="709"/>
        <w:jc w:val="both"/>
        <w:rPr>
          <w:rFonts w:ascii="Times New Roman" w:eastAsia="Times New Roman" w:hAnsi="Times New Roman" w:cs="Times New Roman"/>
        </w:rPr>
      </w:pPr>
      <w:r w:rsidRPr="00A364D9">
        <w:rPr>
          <w:noProof/>
          <w:lang w:eastAsia="it-IT"/>
        </w:rPr>
        <w:lastRenderedPageBreak/>
        <w:drawing>
          <wp:inline distT="0" distB="0" distL="0" distR="0" wp14:anchorId="6CA1BB4E" wp14:editId="140D685F">
            <wp:extent cx="4756244" cy="2693815"/>
            <wp:effectExtent l="0" t="0" r="6350" b="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61453" cy="2696765"/>
                    </a:xfrm>
                    <a:prstGeom prst="rect">
                      <a:avLst/>
                    </a:prstGeom>
                  </pic:spPr>
                </pic:pic>
              </a:graphicData>
            </a:graphic>
          </wp:inline>
        </w:drawing>
      </w:r>
    </w:p>
    <w:p w14:paraId="5AAE610C" w14:textId="77777777" w:rsidR="001C4C1C" w:rsidRPr="00A364D9" w:rsidRDefault="001C4C1C" w:rsidP="001C4C1C">
      <w:pPr>
        <w:spacing w:line="312" w:lineRule="auto"/>
        <w:ind w:left="-426"/>
        <w:jc w:val="both"/>
        <w:rPr>
          <w:rFonts w:eastAsia="Times New Roman"/>
        </w:rPr>
      </w:pPr>
    </w:p>
    <w:p w14:paraId="6BA32C6C" w14:textId="3EA2070B" w:rsidR="001C4C1C" w:rsidRPr="00A364D9" w:rsidRDefault="001C4C1C" w:rsidP="001C4C1C">
      <w:pPr>
        <w:spacing w:line="312" w:lineRule="auto"/>
        <w:rPr>
          <w:rFonts w:ascii="Times New Roman" w:eastAsia="Times New Roman" w:hAnsi="Times New Roman" w:cs="Times New Roman"/>
        </w:rPr>
      </w:pPr>
      <w:r w:rsidRPr="00A364D9">
        <w:rPr>
          <w:rFonts w:ascii="Times New Roman" w:eastAsia="Times New Roman" w:hAnsi="Times New Roman" w:cs="Times New Roman"/>
        </w:rPr>
        <w:t xml:space="preserve">L’Italia occupa una </w:t>
      </w:r>
      <w:r w:rsidRPr="00A364D9">
        <w:rPr>
          <w:rFonts w:ascii="Times New Roman" w:eastAsia="Times New Roman" w:hAnsi="Times New Roman" w:cs="Times New Roman"/>
          <w:u w:val="single"/>
        </w:rPr>
        <w:t>posizione intermedia</w:t>
      </w:r>
      <w:r w:rsidRPr="00A364D9">
        <w:rPr>
          <w:rFonts w:ascii="Times New Roman" w:eastAsia="Times New Roman" w:hAnsi="Times New Roman" w:cs="Times New Roman"/>
        </w:rPr>
        <w:t xml:space="preserve"> con riferimento a:</w:t>
      </w:r>
    </w:p>
    <w:p w14:paraId="6DEC1242" w14:textId="77777777" w:rsidR="001C4C1C" w:rsidRPr="00A364D9" w:rsidRDefault="001C4C1C" w:rsidP="001C4C1C">
      <w:pPr>
        <w:spacing w:line="312" w:lineRule="auto"/>
        <w:ind w:left="709"/>
        <w:rPr>
          <w:rFonts w:ascii="Times New Roman" w:eastAsia="Times New Roman" w:hAnsi="Times New Roman" w:cs="Times New Roman"/>
        </w:rPr>
      </w:pPr>
      <w:r w:rsidRPr="00A364D9">
        <w:rPr>
          <w:rFonts w:ascii="Times New Roman" w:eastAsia="Times New Roman" w:hAnsi="Times New Roman" w:cs="Times New Roman"/>
        </w:rPr>
        <w:t>- l’utilizzo delle tecnologie digitali da parte degli uffici giudiziari giudicanti, facendo tuttavia meglio di paesi come Francia, Belgio, Olanda (</w:t>
      </w:r>
      <w:r w:rsidRPr="00A364D9">
        <w:rPr>
          <w:rFonts w:ascii="Times New Roman" w:eastAsia="Times New Roman" w:hAnsi="Times New Roman" w:cs="Times New Roman"/>
          <w:b/>
          <w:bCs/>
        </w:rPr>
        <w:t>Fig. 43</w:t>
      </w:r>
      <w:r w:rsidRPr="00A364D9">
        <w:rPr>
          <w:rFonts w:ascii="Times New Roman" w:eastAsia="Times New Roman" w:hAnsi="Times New Roman" w:cs="Times New Roman"/>
        </w:rPr>
        <w:t>);</w:t>
      </w:r>
    </w:p>
    <w:p w14:paraId="148564E4" w14:textId="77777777" w:rsidR="001C4C1C" w:rsidRPr="00A364D9" w:rsidRDefault="001C4C1C" w:rsidP="001C4C1C">
      <w:pPr>
        <w:spacing w:line="312" w:lineRule="auto"/>
        <w:ind w:left="709"/>
        <w:rPr>
          <w:rFonts w:ascii="Times New Roman" w:eastAsia="Times New Roman" w:hAnsi="Times New Roman" w:cs="Times New Roman"/>
          <w:b/>
          <w:bCs/>
        </w:rPr>
      </w:pPr>
      <w:r w:rsidRPr="00A364D9">
        <w:rPr>
          <w:rFonts w:ascii="Times New Roman" w:eastAsia="Times New Roman" w:hAnsi="Times New Roman" w:cs="Times New Roman"/>
        </w:rPr>
        <w:t>- gli strumenti di comunicazione elettronica tra uffici e con i professionisti e le altre istituzioni (</w:t>
      </w:r>
      <w:r w:rsidRPr="00A364D9">
        <w:rPr>
          <w:rFonts w:ascii="Times New Roman" w:eastAsia="Times New Roman" w:hAnsi="Times New Roman" w:cs="Times New Roman"/>
          <w:b/>
          <w:bCs/>
        </w:rPr>
        <w:t>Fig. 44);</w:t>
      </w:r>
    </w:p>
    <w:p w14:paraId="25299A6C" w14:textId="77777777" w:rsidR="001C4C1C" w:rsidRPr="00A364D9" w:rsidRDefault="001C4C1C" w:rsidP="001C4C1C">
      <w:pPr>
        <w:spacing w:line="312" w:lineRule="auto"/>
        <w:jc w:val="both"/>
        <w:rPr>
          <w:rFonts w:ascii="Times New Roman" w:eastAsia="Times New Roman" w:hAnsi="Times New Roman" w:cs="Times New Roman"/>
          <w:i/>
          <w:iCs/>
        </w:rPr>
      </w:pPr>
      <w:r w:rsidRPr="00A364D9">
        <w:rPr>
          <w:rFonts w:ascii="Times New Roman" w:eastAsia="Times New Roman" w:hAnsi="Times New Roman" w:cs="Times New Roman"/>
          <w:i/>
          <w:iCs/>
        </w:rPr>
        <w:t xml:space="preserve">Si noti, tuttavia, che in entrambi questi casi, </w:t>
      </w:r>
      <w:r w:rsidRPr="00A364D9">
        <w:rPr>
          <w:rFonts w:ascii="Times New Roman" w:eastAsia="Times New Roman" w:hAnsi="Times New Roman" w:cs="Times New Roman"/>
          <w:b/>
          <w:bCs/>
          <w:i/>
          <w:iCs/>
        </w:rPr>
        <w:t>il Rapporto non si distingue tra giustizia civile, penale e amministrativa</w:t>
      </w:r>
      <w:r w:rsidRPr="00A364D9">
        <w:rPr>
          <w:rFonts w:ascii="Times New Roman" w:eastAsia="Times New Roman" w:hAnsi="Times New Roman" w:cs="Times New Roman"/>
          <w:i/>
          <w:iCs/>
        </w:rPr>
        <w:t>. Per quanto riguarda il secondo aspetto, l’Italia risulta, in particolare, penalizzata dalla mancanza di strumenti di comunicazione elettronica tra gli uffici e le strutture penitenziarie.</w:t>
      </w:r>
    </w:p>
    <w:p w14:paraId="4815E33F" w14:textId="77777777" w:rsidR="001C4C1C" w:rsidRPr="00A364D9" w:rsidRDefault="001C4C1C" w:rsidP="001C4C1C">
      <w:pPr>
        <w:spacing w:line="312" w:lineRule="auto"/>
        <w:ind w:left="709"/>
        <w:rPr>
          <w:rFonts w:ascii="Times New Roman" w:eastAsia="Times New Roman" w:hAnsi="Times New Roman" w:cs="Times New Roman"/>
        </w:rPr>
      </w:pPr>
    </w:p>
    <w:p w14:paraId="0ABBC2B4" w14:textId="77777777" w:rsidR="001C4C1C" w:rsidRPr="00A364D9" w:rsidRDefault="001C4C1C" w:rsidP="001C4C1C">
      <w:pPr>
        <w:spacing w:line="312" w:lineRule="auto"/>
        <w:rPr>
          <w:rFonts w:ascii="Times New Roman" w:eastAsia="Times New Roman" w:hAnsi="Times New Roman" w:cs="Times New Roman"/>
        </w:rPr>
      </w:pPr>
      <w:r w:rsidRPr="00A364D9">
        <w:rPr>
          <w:noProof/>
          <w:lang w:eastAsia="it-IT"/>
        </w:rPr>
        <w:drawing>
          <wp:inline distT="0" distB="0" distL="0" distR="0" wp14:anchorId="728E1877" wp14:editId="504D8EA2">
            <wp:extent cx="6299835" cy="2358390"/>
            <wp:effectExtent l="0" t="0" r="5715" b="3810"/>
            <wp:docPr id="31" name="Immagine 31"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magine 24" descr="Immagine che contiene tavolo&#10;&#10;Descrizione generata automaticamente"/>
                    <pic:cNvPicPr/>
                  </pic:nvPicPr>
                  <pic:blipFill>
                    <a:blip r:embed="rId24"/>
                    <a:stretch>
                      <a:fillRect/>
                    </a:stretch>
                  </pic:blipFill>
                  <pic:spPr>
                    <a:xfrm>
                      <a:off x="0" y="0"/>
                      <a:ext cx="6299835" cy="2358390"/>
                    </a:xfrm>
                    <a:prstGeom prst="rect">
                      <a:avLst/>
                    </a:prstGeom>
                  </pic:spPr>
                </pic:pic>
              </a:graphicData>
            </a:graphic>
          </wp:inline>
        </w:drawing>
      </w:r>
    </w:p>
    <w:p w14:paraId="60292C8F" w14:textId="77777777" w:rsidR="001C4C1C" w:rsidRPr="00A364D9" w:rsidRDefault="001C4C1C" w:rsidP="001C4C1C">
      <w:pPr>
        <w:spacing w:line="312" w:lineRule="auto"/>
        <w:rPr>
          <w:rFonts w:ascii="Times New Roman" w:eastAsia="Times New Roman" w:hAnsi="Times New Roman" w:cs="Times New Roman"/>
          <w:b/>
          <w:bCs/>
        </w:rPr>
      </w:pPr>
      <w:r w:rsidRPr="00A364D9">
        <w:rPr>
          <w:noProof/>
          <w:lang w:eastAsia="it-IT"/>
        </w:rPr>
        <w:lastRenderedPageBreak/>
        <w:drawing>
          <wp:inline distT="0" distB="0" distL="0" distR="0" wp14:anchorId="4A65AB00" wp14:editId="07255076">
            <wp:extent cx="5427739" cy="2349230"/>
            <wp:effectExtent l="0" t="0" r="1905" b="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436975" cy="2353228"/>
                    </a:xfrm>
                    <a:prstGeom prst="rect">
                      <a:avLst/>
                    </a:prstGeom>
                  </pic:spPr>
                </pic:pic>
              </a:graphicData>
            </a:graphic>
          </wp:inline>
        </w:drawing>
      </w:r>
    </w:p>
    <w:p w14:paraId="269F5A7E" w14:textId="77777777" w:rsidR="001C4C1C" w:rsidRPr="00A364D9" w:rsidRDefault="001C4C1C" w:rsidP="001C4C1C">
      <w:pPr>
        <w:spacing w:line="312" w:lineRule="auto"/>
        <w:ind w:left="709"/>
        <w:rPr>
          <w:rFonts w:ascii="Times New Roman" w:eastAsia="Times New Roman" w:hAnsi="Times New Roman" w:cs="Times New Roman"/>
          <w:b/>
          <w:bCs/>
        </w:rPr>
      </w:pPr>
    </w:p>
    <w:p w14:paraId="4A5F66DE" w14:textId="77777777" w:rsidR="001C4C1C" w:rsidRPr="00A364D9" w:rsidRDefault="001C4C1C" w:rsidP="001C4C1C">
      <w:pPr>
        <w:spacing w:line="312" w:lineRule="auto"/>
        <w:ind w:firstLine="708"/>
        <w:rPr>
          <w:rFonts w:ascii="Times New Roman" w:eastAsia="Times New Roman" w:hAnsi="Times New Roman" w:cs="Times New Roman"/>
        </w:rPr>
      </w:pPr>
      <w:r w:rsidRPr="00A364D9">
        <w:rPr>
          <w:rFonts w:ascii="Times New Roman" w:eastAsia="Times New Roman" w:hAnsi="Times New Roman" w:cs="Times New Roman"/>
        </w:rPr>
        <w:t>Una posizione intermedia emerge anche con riguardo alla presenza di soluzioni per consentire la lettura automatizzata da parte delle macchine dei provvedimenti (</w:t>
      </w:r>
      <w:r w:rsidRPr="00A364D9">
        <w:rPr>
          <w:rFonts w:ascii="Times New Roman" w:eastAsia="Times New Roman" w:hAnsi="Times New Roman" w:cs="Times New Roman"/>
          <w:b/>
          <w:bCs/>
        </w:rPr>
        <w:t>Fig. 49</w:t>
      </w:r>
      <w:r w:rsidRPr="00A364D9">
        <w:rPr>
          <w:rFonts w:ascii="Times New Roman" w:eastAsia="Times New Roman" w:hAnsi="Times New Roman" w:cs="Times New Roman"/>
        </w:rPr>
        <w:t>)</w:t>
      </w:r>
    </w:p>
    <w:p w14:paraId="48FA3D59" w14:textId="77777777" w:rsidR="001C4C1C" w:rsidRPr="00A364D9" w:rsidRDefault="001C4C1C" w:rsidP="009B70E1">
      <w:pPr>
        <w:spacing w:line="312" w:lineRule="auto"/>
        <w:jc w:val="center"/>
        <w:rPr>
          <w:rFonts w:ascii="Times New Roman" w:eastAsia="Times New Roman" w:hAnsi="Times New Roman" w:cs="Times New Roman"/>
        </w:rPr>
      </w:pPr>
      <w:r w:rsidRPr="00A364D9">
        <w:rPr>
          <w:noProof/>
          <w:lang w:eastAsia="it-IT"/>
        </w:rPr>
        <w:drawing>
          <wp:inline distT="0" distB="0" distL="0" distR="0" wp14:anchorId="67B823E7" wp14:editId="08614094">
            <wp:extent cx="4489315" cy="2410049"/>
            <wp:effectExtent l="0" t="0" r="6985" b="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95108" cy="2413159"/>
                    </a:xfrm>
                    <a:prstGeom prst="rect">
                      <a:avLst/>
                    </a:prstGeom>
                  </pic:spPr>
                </pic:pic>
              </a:graphicData>
            </a:graphic>
          </wp:inline>
        </w:drawing>
      </w:r>
    </w:p>
    <w:p w14:paraId="43104BFC" w14:textId="77777777" w:rsidR="001C4C1C" w:rsidRPr="00A364D9" w:rsidRDefault="001C4C1C" w:rsidP="001C4C1C">
      <w:pPr>
        <w:spacing w:line="312" w:lineRule="auto"/>
        <w:jc w:val="both"/>
        <w:rPr>
          <w:rFonts w:ascii="Times New Roman" w:eastAsia="Times New Roman" w:hAnsi="Times New Roman" w:cs="Times New Roman"/>
        </w:rPr>
      </w:pPr>
      <w:r w:rsidRPr="00A364D9">
        <w:rPr>
          <w:rFonts w:ascii="Times New Roman" w:eastAsia="Times New Roman" w:hAnsi="Times New Roman" w:cs="Times New Roman"/>
          <w:i/>
          <w:iCs/>
        </w:rPr>
        <w:t xml:space="preserve">Al riguardo, l’Italia risente della mancanza di: algoritmi di </w:t>
      </w:r>
      <w:proofErr w:type="spellStart"/>
      <w:r w:rsidRPr="00A364D9">
        <w:rPr>
          <w:rFonts w:ascii="Times New Roman" w:eastAsia="Times New Roman" w:hAnsi="Times New Roman" w:cs="Times New Roman"/>
          <w:i/>
          <w:iCs/>
        </w:rPr>
        <w:t>anonimizzazione</w:t>
      </w:r>
      <w:proofErr w:type="spellEnd"/>
      <w:r w:rsidRPr="00A364D9">
        <w:rPr>
          <w:rFonts w:ascii="Times New Roman" w:eastAsia="Times New Roman" w:hAnsi="Times New Roman" w:cs="Times New Roman"/>
          <w:i/>
          <w:iCs/>
        </w:rPr>
        <w:t xml:space="preserve">/pseudo </w:t>
      </w:r>
      <w:proofErr w:type="spellStart"/>
      <w:r w:rsidRPr="00A364D9">
        <w:rPr>
          <w:rFonts w:ascii="Times New Roman" w:eastAsia="Times New Roman" w:hAnsi="Times New Roman" w:cs="Times New Roman"/>
          <w:i/>
          <w:iCs/>
        </w:rPr>
        <w:t>anonimizzazione</w:t>
      </w:r>
      <w:proofErr w:type="spellEnd"/>
      <w:r w:rsidRPr="00A364D9">
        <w:rPr>
          <w:rFonts w:ascii="Times New Roman" w:eastAsia="Times New Roman" w:hAnsi="Times New Roman" w:cs="Times New Roman"/>
          <w:i/>
          <w:iCs/>
        </w:rPr>
        <w:t xml:space="preserve"> delle sentenze e di strumenti che consentono di scaricare gratuitamente sotto forma di una banca dati o con altri mezzi automatizzati le sentenze e i loro metadati associati.</w:t>
      </w:r>
    </w:p>
    <w:p w14:paraId="633FD56A" w14:textId="77777777" w:rsidR="001C4C1C" w:rsidRPr="00A364D9" w:rsidRDefault="001C4C1C" w:rsidP="001C4C1C">
      <w:pPr>
        <w:spacing w:line="312" w:lineRule="auto"/>
        <w:jc w:val="both"/>
        <w:rPr>
          <w:rFonts w:ascii="Times New Roman" w:eastAsia="Times New Roman" w:hAnsi="Times New Roman" w:cs="Times New Roman"/>
        </w:rPr>
      </w:pPr>
    </w:p>
    <w:p w14:paraId="22EB3FAB" w14:textId="77777777" w:rsidR="001C4C1C" w:rsidRPr="00A364D9" w:rsidRDefault="001C4C1C" w:rsidP="001C4C1C">
      <w:pPr>
        <w:spacing w:line="312" w:lineRule="auto"/>
        <w:jc w:val="both"/>
        <w:rPr>
          <w:rFonts w:ascii="Times New Roman" w:eastAsia="Times New Roman" w:hAnsi="Times New Roman" w:cs="Times New Roman"/>
        </w:rPr>
      </w:pPr>
      <w:r w:rsidRPr="00A364D9">
        <w:rPr>
          <w:rFonts w:ascii="Times New Roman" w:eastAsia="Times New Roman" w:hAnsi="Times New Roman" w:cs="Times New Roman"/>
        </w:rPr>
        <w:t xml:space="preserve">Infine, l’Italia si colloca in </w:t>
      </w:r>
      <w:r w:rsidRPr="00A364D9">
        <w:rPr>
          <w:rFonts w:ascii="Times New Roman" w:eastAsia="Times New Roman" w:hAnsi="Times New Roman" w:cs="Times New Roman"/>
          <w:u w:val="single"/>
        </w:rPr>
        <w:t>posizione arretrata</w:t>
      </w:r>
      <w:r w:rsidRPr="00A364D9">
        <w:rPr>
          <w:rFonts w:ascii="Times New Roman" w:eastAsia="Times New Roman" w:hAnsi="Times New Roman" w:cs="Times New Roman"/>
        </w:rPr>
        <w:t xml:space="preserve"> per quanto riguarda la disponibilità in ambito penale di strumenti digitali per condurre e seguire l’iter della procedura (</w:t>
      </w:r>
      <w:r w:rsidRPr="00A364D9">
        <w:rPr>
          <w:rFonts w:ascii="Times New Roman" w:eastAsia="Times New Roman" w:hAnsi="Times New Roman" w:cs="Times New Roman"/>
          <w:b/>
          <w:bCs/>
        </w:rPr>
        <w:t>PPT</w:t>
      </w:r>
      <w:r w:rsidRPr="00A364D9">
        <w:rPr>
          <w:rFonts w:ascii="Times New Roman" w:eastAsia="Times New Roman" w:hAnsi="Times New Roman" w:cs="Times New Roman"/>
        </w:rPr>
        <w:t>) (</w:t>
      </w:r>
      <w:r w:rsidRPr="00A364D9">
        <w:rPr>
          <w:rFonts w:ascii="Times New Roman" w:eastAsia="Times New Roman" w:hAnsi="Times New Roman" w:cs="Times New Roman"/>
          <w:b/>
          <w:bCs/>
        </w:rPr>
        <w:t>Fig. 47</w:t>
      </w:r>
      <w:r w:rsidRPr="00A364D9">
        <w:rPr>
          <w:rFonts w:ascii="Times New Roman" w:eastAsia="Times New Roman" w:hAnsi="Times New Roman" w:cs="Times New Roman"/>
        </w:rPr>
        <w:t>)</w:t>
      </w:r>
    </w:p>
    <w:p w14:paraId="35F635C6" w14:textId="77777777" w:rsidR="001C4C1C" w:rsidRPr="00A364D9" w:rsidRDefault="001C4C1C" w:rsidP="001C4C1C">
      <w:pPr>
        <w:spacing w:line="312" w:lineRule="auto"/>
        <w:jc w:val="both"/>
        <w:rPr>
          <w:rFonts w:ascii="Times New Roman" w:eastAsia="Times New Roman" w:hAnsi="Times New Roman" w:cs="Times New Roman"/>
        </w:rPr>
      </w:pPr>
    </w:p>
    <w:p w14:paraId="4179BEAD" w14:textId="77777777" w:rsidR="001C4C1C" w:rsidRDefault="001C4C1C" w:rsidP="009B70E1">
      <w:pPr>
        <w:spacing w:line="312" w:lineRule="auto"/>
        <w:jc w:val="center"/>
        <w:rPr>
          <w:rFonts w:ascii="Times New Roman" w:eastAsia="Times New Roman" w:hAnsi="Times New Roman" w:cs="Times New Roman"/>
        </w:rPr>
      </w:pPr>
      <w:r w:rsidRPr="00A364D9">
        <w:rPr>
          <w:noProof/>
          <w:lang w:eastAsia="it-IT"/>
        </w:rPr>
        <w:lastRenderedPageBreak/>
        <w:drawing>
          <wp:inline distT="0" distB="0" distL="0" distR="0" wp14:anchorId="067C6EA4" wp14:editId="7DBDE080">
            <wp:extent cx="4930838" cy="2251953"/>
            <wp:effectExtent l="0" t="0" r="3175"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35901" cy="2254265"/>
                    </a:xfrm>
                    <a:prstGeom prst="rect">
                      <a:avLst/>
                    </a:prstGeom>
                  </pic:spPr>
                </pic:pic>
              </a:graphicData>
            </a:graphic>
          </wp:inline>
        </w:drawing>
      </w:r>
    </w:p>
    <w:p w14:paraId="7694D334" w14:textId="77777777" w:rsidR="001C4C1C" w:rsidRPr="00FB62CB" w:rsidRDefault="001C4C1C" w:rsidP="001C4C1C">
      <w:pPr>
        <w:spacing w:line="312" w:lineRule="auto"/>
        <w:jc w:val="both"/>
        <w:rPr>
          <w:rFonts w:ascii="Times New Roman" w:eastAsia="Times New Roman" w:hAnsi="Times New Roman" w:cs="Times New Roman"/>
          <w:b/>
          <w:bCs/>
        </w:rPr>
      </w:pPr>
    </w:p>
    <w:p w14:paraId="54CD2DDD" w14:textId="77777777" w:rsidR="001C4C1C" w:rsidRDefault="001C4C1C" w:rsidP="006B712F">
      <w:pPr>
        <w:spacing w:line="312" w:lineRule="auto"/>
        <w:jc w:val="center"/>
        <w:rPr>
          <w:rFonts w:ascii="Times New Roman" w:eastAsia="Times New Roman" w:hAnsi="Times New Roman" w:cs="Times New Roman"/>
          <w:b/>
          <w:bCs/>
        </w:rPr>
      </w:pPr>
    </w:p>
    <w:p w14:paraId="4B66C7EC" w14:textId="4F782A4A" w:rsidR="007332B2" w:rsidRPr="00FB62CB" w:rsidRDefault="007332B2" w:rsidP="00BF126C">
      <w:pPr>
        <w:spacing w:line="312" w:lineRule="auto"/>
        <w:jc w:val="both"/>
        <w:rPr>
          <w:rFonts w:ascii="Times New Roman" w:eastAsia="Times New Roman" w:hAnsi="Times New Roman" w:cs="Times New Roman"/>
          <w:b/>
          <w:bCs/>
        </w:rPr>
      </w:pPr>
    </w:p>
    <w:sectPr w:rsidR="007332B2" w:rsidRPr="00FB62CB" w:rsidSect="005D7908">
      <w:pgSz w:w="11906" w:h="16838"/>
      <w:pgMar w:top="1135" w:right="1134" w:bottom="113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2D0F7" w14:textId="77777777" w:rsidR="00BB20C9" w:rsidRDefault="00BB20C9" w:rsidP="005161CD">
      <w:pPr>
        <w:spacing w:after="0" w:line="240" w:lineRule="auto"/>
      </w:pPr>
      <w:r>
        <w:separator/>
      </w:r>
    </w:p>
  </w:endnote>
  <w:endnote w:type="continuationSeparator" w:id="0">
    <w:p w14:paraId="756D2465" w14:textId="77777777" w:rsidR="00BB20C9" w:rsidRDefault="00BB20C9" w:rsidP="00516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7AB77" w14:textId="77777777" w:rsidR="00BB20C9" w:rsidRDefault="00BB20C9" w:rsidP="005161CD">
      <w:pPr>
        <w:spacing w:after="0" w:line="240" w:lineRule="auto"/>
      </w:pPr>
      <w:r>
        <w:separator/>
      </w:r>
    </w:p>
  </w:footnote>
  <w:footnote w:type="continuationSeparator" w:id="0">
    <w:p w14:paraId="36447867" w14:textId="77777777" w:rsidR="00BB20C9" w:rsidRDefault="00BB20C9" w:rsidP="005161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1BB2"/>
    <w:multiLevelType w:val="hybridMultilevel"/>
    <w:tmpl w:val="482E747C"/>
    <w:lvl w:ilvl="0" w:tplc="0410000D">
      <w:start w:val="1"/>
      <w:numFmt w:val="bullet"/>
      <w:lvlText w:val=""/>
      <w:lvlJc w:val="left"/>
      <w:pPr>
        <w:ind w:left="1146" w:hanging="360"/>
      </w:pPr>
      <w:rPr>
        <w:rFonts w:ascii="Wingdings" w:hAnsi="Wingdings"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0C07A3"/>
    <w:multiLevelType w:val="multilevel"/>
    <w:tmpl w:val="0F989278"/>
    <w:lvl w:ilvl="0">
      <w:start w:val="1"/>
      <w:numFmt w:val="decimal"/>
      <w:lvlText w:val="%1."/>
      <w:lvlJc w:val="left"/>
      <w:pPr>
        <w:ind w:left="360" w:hanging="360"/>
      </w:pPr>
      <w:rPr>
        <w:rFonts w:cs="Times New Roman"/>
        <w:b/>
      </w:rPr>
    </w:lvl>
    <w:lvl w:ilvl="1">
      <w:start w:val="1"/>
      <w:numFmt w:val="decimal"/>
      <w:isLgl/>
      <w:lvlText w:val="%1.%2."/>
      <w:lvlJc w:val="left"/>
      <w:pPr>
        <w:ind w:left="1068" w:hanging="360"/>
      </w:pPr>
    </w:lvl>
    <w:lvl w:ilvl="2">
      <w:start w:val="1"/>
      <w:numFmt w:val="decimal"/>
      <w:isLgl/>
      <w:lvlText w:val="%1.%2.%3."/>
      <w:lvlJc w:val="left"/>
      <w:pPr>
        <w:ind w:left="1569" w:hanging="720"/>
      </w:pPr>
    </w:lvl>
    <w:lvl w:ilvl="3">
      <w:start w:val="1"/>
      <w:numFmt w:val="decimal"/>
      <w:isLgl/>
      <w:lvlText w:val="%1.%2.%3.%4."/>
      <w:lvlJc w:val="left"/>
      <w:pPr>
        <w:ind w:left="1710" w:hanging="720"/>
      </w:pPr>
    </w:lvl>
    <w:lvl w:ilvl="4">
      <w:start w:val="1"/>
      <w:numFmt w:val="decimal"/>
      <w:isLgl/>
      <w:lvlText w:val="%1.%2.%3.%4.%5."/>
      <w:lvlJc w:val="left"/>
      <w:pPr>
        <w:ind w:left="2211" w:hanging="1080"/>
      </w:pPr>
    </w:lvl>
    <w:lvl w:ilvl="5">
      <w:start w:val="1"/>
      <w:numFmt w:val="decimal"/>
      <w:isLgl/>
      <w:lvlText w:val="%1.%2.%3.%4.%5.%6."/>
      <w:lvlJc w:val="left"/>
      <w:pPr>
        <w:ind w:left="2352" w:hanging="1080"/>
      </w:pPr>
    </w:lvl>
    <w:lvl w:ilvl="6">
      <w:start w:val="1"/>
      <w:numFmt w:val="decimal"/>
      <w:isLgl/>
      <w:lvlText w:val="%1.%2.%3.%4.%5.%6.%7."/>
      <w:lvlJc w:val="left"/>
      <w:pPr>
        <w:ind w:left="2853" w:hanging="1440"/>
      </w:pPr>
    </w:lvl>
    <w:lvl w:ilvl="7">
      <w:start w:val="1"/>
      <w:numFmt w:val="decimal"/>
      <w:isLgl/>
      <w:lvlText w:val="%1.%2.%3.%4.%5.%6.%7.%8."/>
      <w:lvlJc w:val="left"/>
      <w:pPr>
        <w:ind w:left="2994" w:hanging="1440"/>
      </w:pPr>
    </w:lvl>
    <w:lvl w:ilvl="8">
      <w:start w:val="1"/>
      <w:numFmt w:val="decimal"/>
      <w:isLgl/>
      <w:lvlText w:val="%1.%2.%3.%4.%5.%6.%7.%8.%9."/>
      <w:lvlJc w:val="left"/>
      <w:pPr>
        <w:ind w:left="3495" w:hanging="1800"/>
      </w:pPr>
    </w:lvl>
  </w:abstractNum>
  <w:abstractNum w:abstractNumId="2" w15:restartNumberingAfterBreak="0">
    <w:nsid w:val="124A44F5"/>
    <w:multiLevelType w:val="hybridMultilevel"/>
    <w:tmpl w:val="76CAAD50"/>
    <w:lvl w:ilvl="0" w:tplc="4F9EE4F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3574C0"/>
    <w:multiLevelType w:val="hybridMultilevel"/>
    <w:tmpl w:val="AA2497E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F495C40"/>
    <w:multiLevelType w:val="hybridMultilevel"/>
    <w:tmpl w:val="FCEEC13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1223D4C"/>
    <w:multiLevelType w:val="hybridMultilevel"/>
    <w:tmpl w:val="8D22E4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FB4932"/>
    <w:multiLevelType w:val="hybridMultilevel"/>
    <w:tmpl w:val="CA2ECEB8"/>
    <w:lvl w:ilvl="0" w:tplc="02EEC8AA">
      <w:start w:val="1"/>
      <w:numFmt w:val="decimal"/>
      <w:lvlText w:val="%1."/>
      <w:lvlJc w:val="left"/>
      <w:pPr>
        <w:ind w:left="502" w:hanging="360"/>
      </w:pPr>
      <w:rPr>
        <w:rFonts w:hint="default"/>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7" w15:restartNumberingAfterBreak="0">
    <w:nsid w:val="28FF7D22"/>
    <w:multiLevelType w:val="hybridMultilevel"/>
    <w:tmpl w:val="8C2E5660"/>
    <w:lvl w:ilvl="0" w:tplc="4F9C84F0">
      <w:numFmt w:val="bullet"/>
      <w:lvlText w:val="-"/>
      <w:lvlJc w:val="left"/>
      <w:pPr>
        <w:ind w:left="1069" w:hanging="360"/>
      </w:pPr>
      <w:rPr>
        <w:rFonts w:ascii="Times New Roman" w:eastAsia="Times New Roman" w:hAnsi="Times New Roman" w:cs="Times New Roman"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8" w15:restartNumberingAfterBreak="0">
    <w:nsid w:val="2BE76D25"/>
    <w:multiLevelType w:val="hybridMultilevel"/>
    <w:tmpl w:val="D67AC6CC"/>
    <w:lvl w:ilvl="0" w:tplc="0410000D">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415E6C6C"/>
    <w:multiLevelType w:val="hybridMultilevel"/>
    <w:tmpl w:val="71346EF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09B7E56"/>
    <w:multiLevelType w:val="hybridMultilevel"/>
    <w:tmpl w:val="026E89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537200C1"/>
    <w:multiLevelType w:val="hybridMultilevel"/>
    <w:tmpl w:val="4FD4F0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BE22A35"/>
    <w:multiLevelType w:val="hybridMultilevel"/>
    <w:tmpl w:val="6E1A7D5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FD95494"/>
    <w:multiLevelType w:val="hybridMultilevel"/>
    <w:tmpl w:val="13B459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61926366"/>
    <w:multiLevelType w:val="multilevel"/>
    <w:tmpl w:val="0F989278"/>
    <w:lvl w:ilvl="0">
      <w:start w:val="1"/>
      <w:numFmt w:val="decimal"/>
      <w:lvlText w:val="%1."/>
      <w:lvlJc w:val="left"/>
      <w:pPr>
        <w:ind w:left="360" w:hanging="360"/>
      </w:pPr>
      <w:rPr>
        <w:rFonts w:cs="Times New Roman"/>
        <w:b/>
      </w:rPr>
    </w:lvl>
    <w:lvl w:ilvl="1">
      <w:start w:val="1"/>
      <w:numFmt w:val="decimal"/>
      <w:isLgl/>
      <w:lvlText w:val="%1.%2."/>
      <w:lvlJc w:val="left"/>
      <w:pPr>
        <w:ind w:left="1068" w:hanging="360"/>
      </w:pPr>
    </w:lvl>
    <w:lvl w:ilvl="2">
      <w:start w:val="1"/>
      <w:numFmt w:val="decimal"/>
      <w:isLgl/>
      <w:lvlText w:val="%1.%2.%3."/>
      <w:lvlJc w:val="left"/>
      <w:pPr>
        <w:ind w:left="1569" w:hanging="720"/>
      </w:pPr>
    </w:lvl>
    <w:lvl w:ilvl="3">
      <w:start w:val="1"/>
      <w:numFmt w:val="decimal"/>
      <w:isLgl/>
      <w:lvlText w:val="%1.%2.%3.%4."/>
      <w:lvlJc w:val="left"/>
      <w:pPr>
        <w:ind w:left="1710" w:hanging="720"/>
      </w:pPr>
    </w:lvl>
    <w:lvl w:ilvl="4">
      <w:start w:val="1"/>
      <w:numFmt w:val="decimal"/>
      <w:isLgl/>
      <w:lvlText w:val="%1.%2.%3.%4.%5."/>
      <w:lvlJc w:val="left"/>
      <w:pPr>
        <w:ind w:left="2211" w:hanging="1080"/>
      </w:pPr>
    </w:lvl>
    <w:lvl w:ilvl="5">
      <w:start w:val="1"/>
      <w:numFmt w:val="decimal"/>
      <w:isLgl/>
      <w:lvlText w:val="%1.%2.%3.%4.%5.%6."/>
      <w:lvlJc w:val="left"/>
      <w:pPr>
        <w:ind w:left="2352" w:hanging="1080"/>
      </w:pPr>
    </w:lvl>
    <w:lvl w:ilvl="6">
      <w:start w:val="1"/>
      <w:numFmt w:val="decimal"/>
      <w:isLgl/>
      <w:lvlText w:val="%1.%2.%3.%4.%5.%6.%7."/>
      <w:lvlJc w:val="left"/>
      <w:pPr>
        <w:ind w:left="2853" w:hanging="1440"/>
      </w:pPr>
    </w:lvl>
    <w:lvl w:ilvl="7">
      <w:start w:val="1"/>
      <w:numFmt w:val="decimal"/>
      <w:isLgl/>
      <w:lvlText w:val="%1.%2.%3.%4.%5.%6.%7.%8."/>
      <w:lvlJc w:val="left"/>
      <w:pPr>
        <w:ind w:left="2994" w:hanging="1440"/>
      </w:pPr>
    </w:lvl>
    <w:lvl w:ilvl="8">
      <w:start w:val="1"/>
      <w:numFmt w:val="decimal"/>
      <w:isLgl/>
      <w:lvlText w:val="%1.%2.%3.%4.%5.%6.%7.%8.%9."/>
      <w:lvlJc w:val="left"/>
      <w:pPr>
        <w:ind w:left="3495" w:hanging="1800"/>
      </w:pPr>
    </w:lvl>
  </w:abstractNum>
  <w:abstractNum w:abstractNumId="15" w15:restartNumberingAfterBreak="0">
    <w:nsid w:val="640D0289"/>
    <w:multiLevelType w:val="hybridMultilevel"/>
    <w:tmpl w:val="BD54C0F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5C343A9"/>
    <w:multiLevelType w:val="hybridMultilevel"/>
    <w:tmpl w:val="BE4268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B10124E"/>
    <w:multiLevelType w:val="hybridMultilevel"/>
    <w:tmpl w:val="CB16B2E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7844B9A"/>
    <w:multiLevelType w:val="hybridMultilevel"/>
    <w:tmpl w:val="D7A2FCB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7985B92"/>
    <w:multiLevelType w:val="hybridMultilevel"/>
    <w:tmpl w:val="63EE082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CEF37FF"/>
    <w:multiLevelType w:val="hybridMultilevel"/>
    <w:tmpl w:val="C122E890"/>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9"/>
  </w:num>
  <w:num w:numId="4">
    <w:abstractNumId w:val="5"/>
  </w:num>
  <w:num w:numId="5">
    <w:abstractNumId w:val="19"/>
  </w:num>
  <w:num w:numId="6">
    <w:abstractNumId w:val="11"/>
  </w:num>
  <w:num w:numId="7">
    <w:abstractNumId w:val="17"/>
  </w:num>
  <w:num w:numId="8">
    <w:abstractNumId w:val="13"/>
  </w:num>
  <w:num w:numId="9">
    <w:abstractNumId w:val="18"/>
  </w:num>
  <w:num w:numId="10">
    <w:abstractNumId w:val="12"/>
  </w:num>
  <w:num w:numId="11">
    <w:abstractNumId w:val="3"/>
  </w:num>
  <w:num w:numId="12">
    <w:abstractNumId w:val="4"/>
  </w:num>
  <w:num w:numId="13">
    <w:abstractNumId w:val="15"/>
  </w:num>
  <w:num w:numId="14">
    <w:abstractNumId w:val="8"/>
  </w:num>
  <w:num w:numId="15">
    <w:abstractNumId w:val="6"/>
  </w:num>
  <w:num w:numId="16">
    <w:abstractNumId w:val="12"/>
  </w:num>
  <w:num w:numId="17">
    <w:abstractNumId w:val="10"/>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7"/>
  </w:num>
  <w:num w:numId="21">
    <w:abstractNumId w:val="16"/>
  </w:num>
  <w:num w:numId="22">
    <w:abstractNumId w:val="0"/>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trackRevisions/>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08E"/>
    <w:rsid w:val="00003341"/>
    <w:rsid w:val="000157D2"/>
    <w:rsid w:val="00016065"/>
    <w:rsid w:val="00027622"/>
    <w:rsid w:val="0003010F"/>
    <w:rsid w:val="000372C4"/>
    <w:rsid w:val="00044773"/>
    <w:rsid w:val="00050088"/>
    <w:rsid w:val="000551A3"/>
    <w:rsid w:val="000572F9"/>
    <w:rsid w:val="00064FE4"/>
    <w:rsid w:val="00076AA5"/>
    <w:rsid w:val="00086545"/>
    <w:rsid w:val="00096750"/>
    <w:rsid w:val="000A6468"/>
    <w:rsid w:val="000C52FB"/>
    <w:rsid w:val="0010018E"/>
    <w:rsid w:val="0010408E"/>
    <w:rsid w:val="0010557C"/>
    <w:rsid w:val="00114AD1"/>
    <w:rsid w:val="00126552"/>
    <w:rsid w:val="0012658E"/>
    <w:rsid w:val="00143AC5"/>
    <w:rsid w:val="00147E47"/>
    <w:rsid w:val="00155B3A"/>
    <w:rsid w:val="001638E2"/>
    <w:rsid w:val="001645B3"/>
    <w:rsid w:val="0017199F"/>
    <w:rsid w:val="00182B9C"/>
    <w:rsid w:val="00185A49"/>
    <w:rsid w:val="001860B0"/>
    <w:rsid w:val="00187C02"/>
    <w:rsid w:val="00197797"/>
    <w:rsid w:val="001B5204"/>
    <w:rsid w:val="001C16B2"/>
    <w:rsid w:val="001C4C1C"/>
    <w:rsid w:val="001C5578"/>
    <w:rsid w:val="001C5889"/>
    <w:rsid w:val="001E5DF5"/>
    <w:rsid w:val="001F581E"/>
    <w:rsid w:val="002008A8"/>
    <w:rsid w:val="002109BF"/>
    <w:rsid w:val="0022597C"/>
    <w:rsid w:val="002305DD"/>
    <w:rsid w:val="002569EA"/>
    <w:rsid w:val="002606AE"/>
    <w:rsid w:val="00262431"/>
    <w:rsid w:val="00267B90"/>
    <w:rsid w:val="002800E5"/>
    <w:rsid w:val="00291DA8"/>
    <w:rsid w:val="00297D8C"/>
    <w:rsid w:val="002A4077"/>
    <w:rsid w:val="002A7489"/>
    <w:rsid w:val="002B0E63"/>
    <w:rsid w:val="002C303C"/>
    <w:rsid w:val="002C4181"/>
    <w:rsid w:val="002D04F0"/>
    <w:rsid w:val="002D09C9"/>
    <w:rsid w:val="002D1C10"/>
    <w:rsid w:val="002F44ED"/>
    <w:rsid w:val="00302EC6"/>
    <w:rsid w:val="00302F09"/>
    <w:rsid w:val="00305233"/>
    <w:rsid w:val="00305AD0"/>
    <w:rsid w:val="003067EF"/>
    <w:rsid w:val="00312A92"/>
    <w:rsid w:val="00341D33"/>
    <w:rsid w:val="00371EDD"/>
    <w:rsid w:val="00375752"/>
    <w:rsid w:val="00375865"/>
    <w:rsid w:val="00377C6C"/>
    <w:rsid w:val="00384CC7"/>
    <w:rsid w:val="003949B9"/>
    <w:rsid w:val="00397FE3"/>
    <w:rsid w:val="003A24C0"/>
    <w:rsid w:val="003B2C06"/>
    <w:rsid w:val="003C5503"/>
    <w:rsid w:val="003D6F05"/>
    <w:rsid w:val="003E7422"/>
    <w:rsid w:val="00402E30"/>
    <w:rsid w:val="00420FA1"/>
    <w:rsid w:val="00423994"/>
    <w:rsid w:val="00423FAA"/>
    <w:rsid w:val="00426B8D"/>
    <w:rsid w:val="00427F5C"/>
    <w:rsid w:val="00433EB6"/>
    <w:rsid w:val="004455AD"/>
    <w:rsid w:val="004535FB"/>
    <w:rsid w:val="004565D6"/>
    <w:rsid w:val="00456F5B"/>
    <w:rsid w:val="00465CB4"/>
    <w:rsid w:val="00472A2A"/>
    <w:rsid w:val="00474473"/>
    <w:rsid w:val="00477A2E"/>
    <w:rsid w:val="004A1981"/>
    <w:rsid w:val="004C54BD"/>
    <w:rsid w:val="004C6091"/>
    <w:rsid w:val="004D1A48"/>
    <w:rsid w:val="004D4BF2"/>
    <w:rsid w:val="004E45DA"/>
    <w:rsid w:val="004F3B14"/>
    <w:rsid w:val="004F3BE8"/>
    <w:rsid w:val="005005D5"/>
    <w:rsid w:val="00500DDE"/>
    <w:rsid w:val="00504051"/>
    <w:rsid w:val="00510756"/>
    <w:rsid w:val="005161CD"/>
    <w:rsid w:val="00517C42"/>
    <w:rsid w:val="00531031"/>
    <w:rsid w:val="00533357"/>
    <w:rsid w:val="00537C60"/>
    <w:rsid w:val="00545EDE"/>
    <w:rsid w:val="0055761C"/>
    <w:rsid w:val="00566869"/>
    <w:rsid w:val="0056766B"/>
    <w:rsid w:val="0059093E"/>
    <w:rsid w:val="005925B5"/>
    <w:rsid w:val="005C4A0F"/>
    <w:rsid w:val="005D7908"/>
    <w:rsid w:val="005F6626"/>
    <w:rsid w:val="00601DEF"/>
    <w:rsid w:val="006054C9"/>
    <w:rsid w:val="006336D9"/>
    <w:rsid w:val="00633E90"/>
    <w:rsid w:val="0064001D"/>
    <w:rsid w:val="00655A35"/>
    <w:rsid w:val="00660F79"/>
    <w:rsid w:val="00670AD0"/>
    <w:rsid w:val="00677067"/>
    <w:rsid w:val="006938F8"/>
    <w:rsid w:val="006975A8"/>
    <w:rsid w:val="006B2F74"/>
    <w:rsid w:val="006B712F"/>
    <w:rsid w:val="006C0D71"/>
    <w:rsid w:val="006E0E0E"/>
    <w:rsid w:val="006E485C"/>
    <w:rsid w:val="006E4EB8"/>
    <w:rsid w:val="006F2262"/>
    <w:rsid w:val="007063F8"/>
    <w:rsid w:val="00710E11"/>
    <w:rsid w:val="0071168F"/>
    <w:rsid w:val="00711AE9"/>
    <w:rsid w:val="00713209"/>
    <w:rsid w:val="00721DDD"/>
    <w:rsid w:val="0072528A"/>
    <w:rsid w:val="007332B2"/>
    <w:rsid w:val="007629B7"/>
    <w:rsid w:val="00763997"/>
    <w:rsid w:val="00771017"/>
    <w:rsid w:val="00774A04"/>
    <w:rsid w:val="0078234C"/>
    <w:rsid w:val="00782852"/>
    <w:rsid w:val="0079683F"/>
    <w:rsid w:val="0079755D"/>
    <w:rsid w:val="007A2501"/>
    <w:rsid w:val="007A303D"/>
    <w:rsid w:val="007B6569"/>
    <w:rsid w:val="007B7B25"/>
    <w:rsid w:val="007D0365"/>
    <w:rsid w:val="007D0F34"/>
    <w:rsid w:val="007E06F2"/>
    <w:rsid w:val="007E7798"/>
    <w:rsid w:val="007F3CA3"/>
    <w:rsid w:val="008021EB"/>
    <w:rsid w:val="008048F0"/>
    <w:rsid w:val="00817028"/>
    <w:rsid w:val="008236B6"/>
    <w:rsid w:val="008249CF"/>
    <w:rsid w:val="008370AA"/>
    <w:rsid w:val="0084236C"/>
    <w:rsid w:val="00845823"/>
    <w:rsid w:val="00854110"/>
    <w:rsid w:val="00862F38"/>
    <w:rsid w:val="008634C2"/>
    <w:rsid w:val="008651CD"/>
    <w:rsid w:val="00874177"/>
    <w:rsid w:val="008743C5"/>
    <w:rsid w:val="008837BC"/>
    <w:rsid w:val="00890B5B"/>
    <w:rsid w:val="008A514D"/>
    <w:rsid w:val="008A64F9"/>
    <w:rsid w:val="008A6C48"/>
    <w:rsid w:val="008B0546"/>
    <w:rsid w:val="008B2FA8"/>
    <w:rsid w:val="008B62B3"/>
    <w:rsid w:val="008B6A61"/>
    <w:rsid w:val="008B7BBD"/>
    <w:rsid w:val="008C36CA"/>
    <w:rsid w:val="008E1AE4"/>
    <w:rsid w:val="008E209E"/>
    <w:rsid w:val="008F41B6"/>
    <w:rsid w:val="008F5DC8"/>
    <w:rsid w:val="008F6239"/>
    <w:rsid w:val="009063F1"/>
    <w:rsid w:val="009320E8"/>
    <w:rsid w:val="00943A3C"/>
    <w:rsid w:val="009444F8"/>
    <w:rsid w:val="00957BE8"/>
    <w:rsid w:val="00964237"/>
    <w:rsid w:val="00980F94"/>
    <w:rsid w:val="00987938"/>
    <w:rsid w:val="009A63D3"/>
    <w:rsid w:val="009B70E1"/>
    <w:rsid w:val="009D526E"/>
    <w:rsid w:val="009D5BA9"/>
    <w:rsid w:val="00A03A36"/>
    <w:rsid w:val="00A1051A"/>
    <w:rsid w:val="00A20079"/>
    <w:rsid w:val="00A211D6"/>
    <w:rsid w:val="00A31B84"/>
    <w:rsid w:val="00A364D9"/>
    <w:rsid w:val="00A46F71"/>
    <w:rsid w:val="00A87BCA"/>
    <w:rsid w:val="00A91C5E"/>
    <w:rsid w:val="00AA6E40"/>
    <w:rsid w:val="00AB0942"/>
    <w:rsid w:val="00AB4995"/>
    <w:rsid w:val="00AB4DE0"/>
    <w:rsid w:val="00AC7909"/>
    <w:rsid w:val="00AD413B"/>
    <w:rsid w:val="00AD54CE"/>
    <w:rsid w:val="00AE0B43"/>
    <w:rsid w:val="00AE0BA3"/>
    <w:rsid w:val="00AE1F92"/>
    <w:rsid w:val="00AF4973"/>
    <w:rsid w:val="00B01D7C"/>
    <w:rsid w:val="00B025A8"/>
    <w:rsid w:val="00B10A04"/>
    <w:rsid w:val="00B124DD"/>
    <w:rsid w:val="00B15932"/>
    <w:rsid w:val="00B255A2"/>
    <w:rsid w:val="00B27B83"/>
    <w:rsid w:val="00B3391F"/>
    <w:rsid w:val="00B45C7E"/>
    <w:rsid w:val="00B74801"/>
    <w:rsid w:val="00B7676E"/>
    <w:rsid w:val="00B82C8B"/>
    <w:rsid w:val="00B9537F"/>
    <w:rsid w:val="00B95558"/>
    <w:rsid w:val="00BB1371"/>
    <w:rsid w:val="00BB20C9"/>
    <w:rsid w:val="00BB4346"/>
    <w:rsid w:val="00BC2AC9"/>
    <w:rsid w:val="00BD0785"/>
    <w:rsid w:val="00BD209E"/>
    <w:rsid w:val="00BD4BDD"/>
    <w:rsid w:val="00BE0723"/>
    <w:rsid w:val="00BE3D39"/>
    <w:rsid w:val="00BF126C"/>
    <w:rsid w:val="00BF2CD9"/>
    <w:rsid w:val="00BF5B7A"/>
    <w:rsid w:val="00C1409A"/>
    <w:rsid w:val="00C267AE"/>
    <w:rsid w:val="00C33C0F"/>
    <w:rsid w:val="00C35A4E"/>
    <w:rsid w:val="00C3758A"/>
    <w:rsid w:val="00C41425"/>
    <w:rsid w:val="00C74990"/>
    <w:rsid w:val="00C927A3"/>
    <w:rsid w:val="00C940F3"/>
    <w:rsid w:val="00CB4787"/>
    <w:rsid w:val="00CB59FF"/>
    <w:rsid w:val="00CB5D0B"/>
    <w:rsid w:val="00CB7AC7"/>
    <w:rsid w:val="00CC1713"/>
    <w:rsid w:val="00CC7C66"/>
    <w:rsid w:val="00CD1D85"/>
    <w:rsid w:val="00CD61A7"/>
    <w:rsid w:val="00CF6ABB"/>
    <w:rsid w:val="00D0027A"/>
    <w:rsid w:val="00D00D94"/>
    <w:rsid w:val="00D10887"/>
    <w:rsid w:val="00D17B24"/>
    <w:rsid w:val="00D24C52"/>
    <w:rsid w:val="00D45197"/>
    <w:rsid w:val="00D5529E"/>
    <w:rsid w:val="00D6552E"/>
    <w:rsid w:val="00D73658"/>
    <w:rsid w:val="00D84E57"/>
    <w:rsid w:val="00DA367F"/>
    <w:rsid w:val="00DA4E49"/>
    <w:rsid w:val="00DB67D3"/>
    <w:rsid w:val="00DC35E8"/>
    <w:rsid w:val="00DE6737"/>
    <w:rsid w:val="00DF48AA"/>
    <w:rsid w:val="00E00F9D"/>
    <w:rsid w:val="00E03086"/>
    <w:rsid w:val="00E07D12"/>
    <w:rsid w:val="00E3207F"/>
    <w:rsid w:val="00E35FD6"/>
    <w:rsid w:val="00E42544"/>
    <w:rsid w:val="00E74036"/>
    <w:rsid w:val="00E75B7B"/>
    <w:rsid w:val="00E76795"/>
    <w:rsid w:val="00E92CC0"/>
    <w:rsid w:val="00E96418"/>
    <w:rsid w:val="00EB1316"/>
    <w:rsid w:val="00EB3590"/>
    <w:rsid w:val="00ED0866"/>
    <w:rsid w:val="00ED4794"/>
    <w:rsid w:val="00EF3601"/>
    <w:rsid w:val="00EF73D2"/>
    <w:rsid w:val="00F26A2C"/>
    <w:rsid w:val="00F27B66"/>
    <w:rsid w:val="00F3474E"/>
    <w:rsid w:val="00F34A12"/>
    <w:rsid w:val="00F367C9"/>
    <w:rsid w:val="00F40A47"/>
    <w:rsid w:val="00F44333"/>
    <w:rsid w:val="00F449F6"/>
    <w:rsid w:val="00F51284"/>
    <w:rsid w:val="00F51A4A"/>
    <w:rsid w:val="00F613A5"/>
    <w:rsid w:val="00F840B5"/>
    <w:rsid w:val="00F84BEE"/>
    <w:rsid w:val="00FA0367"/>
    <w:rsid w:val="00FA4AF0"/>
    <w:rsid w:val="00FA626B"/>
    <w:rsid w:val="00FB4B6F"/>
    <w:rsid w:val="00FB62CB"/>
    <w:rsid w:val="00FC6475"/>
    <w:rsid w:val="00FE5C8E"/>
    <w:rsid w:val="00FE6FE3"/>
    <w:rsid w:val="00FF01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EBC3E"/>
  <w15:docId w15:val="{47231A03-E698-4A5C-9625-D8236ED06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B59FF"/>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1051A"/>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1051A"/>
    <w:rPr>
      <w:rFonts w:ascii="Segoe UI" w:hAnsi="Segoe UI" w:cs="Segoe UI"/>
      <w:sz w:val="18"/>
      <w:szCs w:val="18"/>
    </w:rPr>
  </w:style>
  <w:style w:type="table" w:styleId="Grigliatabella">
    <w:name w:val="Table Grid"/>
    <w:basedOn w:val="Tabellanormale"/>
    <w:uiPriority w:val="39"/>
    <w:rsid w:val="005161CD"/>
    <w:pPr>
      <w:spacing w:after="0" w:line="240" w:lineRule="auto"/>
    </w:pPr>
    <w:rPr>
      <w:rFonts w:ascii="Calibri" w:eastAsia="Times New Roman" w:hAnsi="Calibri" w:cs="Calibri"/>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unhideWhenUsed/>
    <w:rsid w:val="005161C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5161CD"/>
    <w:rPr>
      <w:sz w:val="20"/>
      <w:szCs w:val="20"/>
    </w:rPr>
  </w:style>
  <w:style w:type="character" w:styleId="Rimandonotaapidipagina">
    <w:name w:val="footnote reference"/>
    <w:basedOn w:val="Carpredefinitoparagrafo"/>
    <w:uiPriority w:val="99"/>
    <w:unhideWhenUsed/>
    <w:rsid w:val="005161CD"/>
    <w:rPr>
      <w:vertAlign w:val="superscript"/>
    </w:rPr>
  </w:style>
  <w:style w:type="paragraph" w:styleId="Paragrafoelenco">
    <w:name w:val="List Paragraph"/>
    <w:basedOn w:val="Normale"/>
    <w:uiPriority w:val="34"/>
    <w:qFormat/>
    <w:rsid w:val="001B5204"/>
    <w:pPr>
      <w:spacing w:after="0" w:line="240" w:lineRule="auto"/>
      <w:ind w:left="720"/>
      <w:contextualSpacing/>
    </w:pPr>
    <w:rPr>
      <w:rFonts w:ascii="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7E7798"/>
    <w:rPr>
      <w:sz w:val="16"/>
      <w:szCs w:val="16"/>
    </w:rPr>
  </w:style>
  <w:style w:type="paragraph" w:styleId="Testocommento">
    <w:name w:val="annotation text"/>
    <w:basedOn w:val="Normale"/>
    <w:link w:val="TestocommentoCarattere"/>
    <w:uiPriority w:val="99"/>
    <w:semiHidden/>
    <w:unhideWhenUsed/>
    <w:rsid w:val="007E7798"/>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7E7798"/>
    <w:rPr>
      <w:sz w:val="20"/>
      <w:szCs w:val="20"/>
    </w:rPr>
  </w:style>
  <w:style w:type="paragraph" w:styleId="Soggettocommento">
    <w:name w:val="annotation subject"/>
    <w:basedOn w:val="Testocommento"/>
    <w:next w:val="Testocommento"/>
    <w:link w:val="SoggettocommentoCarattere"/>
    <w:uiPriority w:val="99"/>
    <w:semiHidden/>
    <w:unhideWhenUsed/>
    <w:rsid w:val="007E7798"/>
    <w:rPr>
      <w:b/>
      <w:bCs/>
    </w:rPr>
  </w:style>
  <w:style w:type="character" w:customStyle="1" w:styleId="SoggettocommentoCarattere">
    <w:name w:val="Soggetto commento Carattere"/>
    <w:basedOn w:val="TestocommentoCarattere"/>
    <w:link w:val="Soggettocommento"/>
    <w:uiPriority w:val="99"/>
    <w:semiHidden/>
    <w:rsid w:val="007E7798"/>
    <w:rPr>
      <w:b/>
      <w:bCs/>
      <w:sz w:val="20"/>
      <w:szCs w:val="20"/>
    </w:rPr>
  </w:style>
  <w:style w:type="character" w:styleId="Enfasicorsivo">
    <w:name w:val="Emphasis"/>
    <w:basedOn w:val="Carpredefinitoparagrafo"/>
    <w:uiPriority w:val="20"/>
    <w:qFormat/>
    <w:rsid w:val="00500DDE"/>
    <w:rPr>
      <w:i/>
      <w:iCs/>
    </w:rPr>
  </w:style>
  <w:style w:type="character" w:styleId="Enfasigrassetto">
    <w:name w:val="Strong"/>
    <w:basedOn w:val="Carpredefinitoparagrafo"/>
    <w:uiPriority w:val="22"/>
    <w:qFormat/>
    <w:rsid w:val="00500DDE"/>
    <w:rPr>
      <w:b/>
      <w:bCs/>
    </w:rPr>
  </w:style>
  <w:style w:type="paragraph" w:styleId="Revisione">
    <w:name w:val="Revision"/>
    <w:hidden/>
    <w:uiPriority w:val="99"/>
    <w:semiHidden/>
    <w:rsid w:val="006975A8"/>
    <w:pPr>
      <w:spacing w:after="0" w:line="240" w:lineRule="auto"/>
    </w:pPr>
  </w:style>
  <w:style w:type="paragraph" w:styleId="NormaleWeb">
    <w:name w:val="Normal (Web)"/>
    <w:basedOn w:val="Normale"/>
    <w:uiPriority w:val="99"/>
    <w:semiHidden/>
    <w:unhideWhenUsed/>
    <w:rsid w:val="00185A49"/>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44278">
      <w:bodyDiv w:val="1"/>
      <w:marLeft w:val="0"/>
      <w:marRight w:val="0"/>
      <w:marTop w:val="0"/>
      <w:marBottom w:val="0"/>
      <w:divBdr>
        <w:top w:val="none" w:sz="0" w:space="0" w:color="auto"/>
        <w:left w:val="none" w:sz="0" w:space="0" w:color="auto"/>
        <w:bottom w:val="none" w:sz="0" w:space="0" w:color="auto"/>
        <w:right w:val="none" w:sz="0" w:space="0" w:color="auto"/>
      </w:divBdr>
    </w:div>
    <w:div w:id="216476672">
      <w:bodyDiv w:val="1"/>
      <w:marLeft w:val="0"/>
      <w:marRight w:val="0"/>
      <w:marTop w:val="0"/>
      <w:marBottom w:val="0"/>
      <w:divBdr>
        <w:top w:val="none" w:sz="0" w:space="0" w:color="auto"/>
        <w:left w:val="none" w:sz="0" w:space="0" w:color="auto"/>
        <w:bottom w:val="none" w:sz="0" w:space="0" w:color="auto"/>
        <w:right w:val="none" w:sz="0" w:space="0" w:color="auto"/>
      </w:divBdr>
    </w:div>
    <w:div w:id="247083118">
      <w:bodyDiv w:val="1"/>
      <w:marLeft w:val="0"/>
      <w:marRight w:val="0"/>
      <w:marTop w:val="0"/>
      <w:marBottom w:val="0"/>
      <w:divBdr>
        <w:top w:val="none" w:sz="0" w:space="0" w:color="auto"/>
        <w:left w:val="none" w:sz="0" w:space="0" w:color="auto"/>
        <w:bottom w:val="none" w:sz="0" w:space="0" w:color="auto"/>
        <w:right w:val="none" w:sz="0" w:space="0" w:color="auto"/>
      </w:divBdr>
    </w:div>
    <w:div w:id="468474668">
      <w:bodyDiv w:val="1"/>
      <w:marLeft w:val="0"/>
      <w:marRight w:val="0"/>
      <w:marTop w:val="0"/>
      <w:marBottom w:val="0"/>
      <w:divBdr>
        <w:top w:val="none" w:sz="0" w:space="0" w:color="auto"/>
        <w:left w:val="none" w:sz="0" w:space="0" w:color="auto"/>
        <w:bottom w:val="none" w:sz="0" w:space="0" w:color="auto"/>
        <w:right w:val="none" w:sz="0" w:space="0" w:color="auto"/>
      </w:divBdr>
    </w:div>
    <w:div w:id="677659406">
      <w:bodyDiv w:val="1"/>
      <w:marLeft w:val="0"/>
      <w:marRight w:val="0"/>
      <w:marTop w:val="0"/>
      <w:marBottom w:val="0"/>
      <w:divBdr>
        <w:top w:val="none" w:sz="0" w:space="0" w:color="auto"/>
        <w:left w:val="none" w:sz="0" w:space="0" w:color="auto"/>
        <w:bottom w:val="none" w:sz="0" w:space="0" w:color="auto"/>
        <w:right w:val="none" w:sz="0" w:space="0" w:color="auto"/>
      </w:divBdr>
    </w:div>
    <w:div w:id="853111503">
      <w:bodyDiv w:val="1"/>
      <w:marLeft w:val="0"/>
      <w:marRight w:val="0"/>
      <w:marTop w:val="0"/>
      <w:marBottom w:val="0"/>
      <w:divBdr>
        <w:top w:val="none" w:sz="0" w:space="0" w:color="auto"/>
        <w:left w:val="none" w:sz="0" w:space="0" w:color="auto"/>
        <w:bottom w:val="none" w:sz="0" w:space="0" w:color="auto"/>
        <w:right w:val="none" w:sz="0" w:space="0" w:color="auto"/>
      </w:divBdr>
    </w:div>
    <w:div w:id="1179268393">
      <w:bodyDiv w:val="1"/>
      <w:marLeft w:val="0"/>
      <w:marRight w:val="0"/>
      <w:marTop w:val="0"/>
      <w:marBottom w:val="0"/>
      <w:divBdr>
        <w:top w:val="none" w:sz="0" w:space="0" w:color="auto"/>
        <w:left w:val="none" w:sz="0" w:space="0" w:color="auto"/>
        <w:bottom w:val="none" w:sz="0" w:space="0" w:color="auto"/>
        <w:right w:val="none" w:sz="0" w:space="0" w:color="auto"/>
      </w:divBdr>
    </w:div>
    <w:div w:id="1282230329">
      <w:bodyDiv w:val="1"/>
      <w:marLeft w:val="0"/>
      <w:marRight w:val="0"/>
      <w:marTop w:val="0"/>
      <w:marBottom w:val="0"/>
      <w:divBdr>
        <w:top w:val="none" w:sz="0" w:space="0" w:color="auto"/>
        <w:left w:val="none" w:sz="0" w:space="0" w:color="auto"/>
        <w:bottom w:val="none" w:sz="0" w:space="0" w:color="auto"/>
        <w:right w:val="none" w:sz="0" w:space="0" w:color="auto"/>
      </w:divBdr>
    </w:div>
    <w:div w:id="1385255438">
      <w:bodyDiv w:val="1"/>
      <w:marLeft w:val="0"/>
      <w:marRight w:val="0"/>
      <w:marTop w:val="0"/>
      <w:marBottom w:val="0"/>
      <w:divBdr>
        <w:top w:val="none" w:sz="0" w:space="0" w:color="auto"/>
        <w:left w:val="none" w:sz="0" w:space="0" w:color="auto"/>
        <w:bottom w:val="none" w:sz="0" w:space="0" w:color="auto"/>
        <w:right w:val="none" w:sz="0" w:space="0" w:color="auto"/>
      </w:divBdr>
    </w:div>
    <w:div w:id="1412659781">
      <w:bodyDiv w:val="1"/>
      <w:marLeft w:val="0"/>
      <w:marRight w:val="0"/>
      <w:marTop w:val="0"/>
      <w:marBottom w:val="0"/>
      <w:divBdr>
        <w:top w:val="none" w:sz="0" w:space="0" w:color="auto"/>
        <w:left w:val="none" w:sz="0" w:space="0" w:color="auto"/>
        <w:bottom w:val="none" w:sz="0" w:space="0" w:color="auto"/>
        <w:right w:val="none" w:sz="0" w:space="0" w:color="auto"/>
      </w:divBdr>
    </w:div>
    <w:div w:id="1612013142">
      <w:bodyDiv w:val="1"/>
      <w:marLeft w:val="0"/>
      <w:marRight w:val="0"/>
      <w:marTop w:val="0"/>
      <w:marBottom w:val="0"/>
      <w:divBdr>
        <w:top w:val="none" w:sz="0" w:space="0" w:color="auto"/>
        <w:left w:val="none" w:sz="0" w:space="0" w:color="auto"/>
        <w:bottom w:val="none" w:sz="0" w:space="0" w:color="auto"/>
        <w:right w:val="none" w:sz="0" w:space="0" w:color="auto"/>
      </w:divBdr>
    </w:div>
    <w:div w:id="1729381070">
      <w:bodyDiv w:val="1"/>
      <w:marLeft w:val="0"/>
      <w:marRight w:val="0"/>
      <w:marTop w:val="0"/>
      <w:marBottom w:val="0"/>
      <w:divBdr>
        <w:top w:val="none" w:sz="0" w:space="0" w:color="auto"/>
        <w:left w:val="none" w:sz="0" w:space="0" w:color="auto"/>
        <w:bottom w:val="none" w:sz="0" w:space="0" w:color="auto"/>
        <w:right w:val="none" w:sz="0" w:space="0" w:color="auto"/>
      </w:divBdr>
    </w:div>
    <w:div w:id="1878083380">
      <w:bodyDiv w:val="1"/>
      <w:marLeft w:val="0"/>
      <w:marRight w:val="0"/>
      <w:marTop w:val="0"/>
      <w:marBottom w:val="0"/>
      <w:divBdr>
        <w:top w:val="none" w:sz="0" w:space="0" w:color="auto"/>
        <w:left w:val="none" w:sz="0" w:space="0" w:color="auto"/>
        <w:bottom w:val="none" w:sz="0" w:space="0" w:color="auto"/>
        <w:right w:val="none" w:sz="0" w:space="0" w:color="auto"/>
      </w:divBdr>
    </w:div>
    <w:div w:id="206918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B233A-A7FB-4631-9678-EF2A6EE66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1345</Words>
  <Characters>7668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AllianzBank S.p.A</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Giuliana Palumbo</dc:creator>
  <cp:lastModifiedBy>Giuliana Palumbo</cp:lastModifiedBy>
  <cp:revision>4</cp:revision>
  <cp:lastPrinted>2019-05-30T15:23:00Z</cp:lastPrinted>
  <dcterms:created xsi:type="dcterms:W3CDTF">2022-05-19T11:08:00Z</dcterms:created>
  <dcterms:modified xsi:type="dcterms:W3CDTF">2022-05-19T11:09:00Z</dcterms:modified>
</cp:coreProperties>
</file>