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27D" w:rsidRPr="00373E26" w:rsidRDefault="00802CE6">
      <w:bookmarkStart w:id="0" w:name="_GoBack"/>
      <w:bookmarkEnd w:id="0"/>
      <w:r w:rsidRPr="00373E26">
        <w:t>LA SCHEDA</w:t>
      </w:r>
      <w:r w:rsidR="00373E26" w:rsidRPr="00373E26">
        <w:t xml:space="preserve"> (tratta da AGI)</w:t>
      </w:r>
    </w:p>
    <w:p w:rsidR="00802CE6" w:rsidRPr="00373E26" w:rsidRDefault="00802CE6"/>
    <w:p w:rsidR="00802CE6" w:rsidRPr="00373E26" w:rsidRDefault="00802CE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E26">
        <w:rPr>
          <w:rFonts w:ascii="Arial" w:hAnsi="Arial" w:cs="Arial"/>
        </w:rPr>
        <w:t>Il testo si</w:t>
      </w:r>
      <w:r w:rsidR="00373E26" w:rsidRP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suddivide in due parti: una relativa alle norme che hanno</w:t>
      </w:r>
      <w:r w:rsidR="00373E26" w:rsidRP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l'obiettivo di potenziare l'attivit</w:t>
      </w:r>
      <w:r w:rsidR="00373E26" w:rsidRPr="00373E26">
        <w:rPr>
          <w:rFonts w:ascii="Arial" w:hAnsi="Arial" w:cs="Arial"/>
        </w:rPr>
        <w:t>à</w:t>
      </w:r>
      <w:r w:rsidRPr="00373E26">
        <w:rPr>
          <w:rFonts w:ascii="Arial" w:hAnsi="Arial" w:cs="Arial"/>
        </w:rPr>
        <w:t xml:space="preserve"> di prevenzione,</w:t>
      </w:r>
      <w:r w:rsidR="00373E26" w:rsidRP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accertamento e repressione dei reati contro la pubblica</w:t>
      </w:r>
      <w:r w:rsidR="00373E26" w:rsidRP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amministrazione</w:t>
      </w:r>
      <w:r w:rsidR="00373E26" w:rsidRPr="00373E26">
        <w:rPr>
          <w:rFonts w:ascii="Arial" w:hAnsi="Arial" w:cs="Arial"/>
        </w:rPr>
        <w:t>; l</w:t>
      </w:r>
      <w:r w:rsidRPr="00373E26">
        <w:rPr>
          <w:rFonts w:ascii="Arial" w:hAnsi="Arial" w:cs="Arial"/>
        </w:rPr>
        <w:t>'altra relativa ai partiti.</w:t>
      </w:r>
      <w:r w:rsidR="00373E26">
        <w:rPr>
          <w:rFonts w:ascii="Arial" w:hAnsi="Arial" w:cs="Arial"/>
        </w:rPr>
        <w:t xml:space="preserve"> Ecco l’analisi di alcuni punti:</w:t>
      </w:r>
    </w:p>
    <w:p w:rsidR="00373E26" w:rsidRPr="00373E26" w:rsidRDefault="00802CE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E26">
        <w:rPr>
          <w:rFonts w:ascii="Arial" w:hAnsi="Arial" w:cs="Arial"/>
        </w:rPr>
        <w:t xml:space="preserve">   </w:t>
      </w:r>
    </w:p>
    <w:p w:rsidR="00373E26" w:rsidRPr="00373E26" w:rsidRDefault="00802CE6" w:rsidP="00373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E26">
        <w:rPr>
          <w:rFonts w:ascii="Arial" w:hAnsi="Arial" w:cs="Arial"/>
        </w:rPr>
        <w:t xml:space="preserve"> - DASPO A VITA PER CORROTTI E CORRUTTORI:</w:t>
      </w:r>
      <w:r w:rsidR="00373E26" w:rsidRPr="00373E26">
        <w:rPr>
          <w:rFonts w:ascii="Arial" w:hAnsi="Arial" w:cs="Arial"/>
        </w:rPr>
        <w:br/>
      </w:r>
      <w:r w:rsidRPr="00373E26">
        <w:rPr>
          <w:rFonts w:ascii="Arial" w:hAnsi="Arial" w:cs="Arial"/>
        </w:rPr>
        <w:t>incapacit</w:t>
      </w:r>
      <w:r w:rsidR="00373E26" w:rsidRPr="00373E26">
        <w:rPr>
          <w:rFonts w:ascii="Arial" w:hAnsi="Arial" w:cs="Arial"/>
        </w:rPr>
        <w:t>à</w:t>
      </w:r>
      <w:r w:rsidRPr="00373E26">
        <w:rPr>
          <w:rFonts w:ascii="Arial" w:hAnsi="Arial" w:cs="Arial"/>
        </w:rPr>
        <w:t xml:space="preserve"> a</w:t>
      </w:r>
      <w:r w:rsidR="00373E26" w:rsidRPr="00373E26">
        <w:rPr>
          <w:rFonts w:ascii="Arial" w:hAnsi="Arial" w:cs="Arial"/>
        </w:rPr>
        <w:t xml:space="preserve"> v</w:t>
      </w:r>
      <w:r w:rsidRPr="00373E26">
        <w:rPr>
          <w:rFonts w:ascii="Arial" w:hAnsi="Arial" w:cs="Arial"/>
        </w:rPr>
        <w:t>ita di contrattare con la pubblica amministrazione (norma che</w:t>
      </w:r>
      <w:r w:rsidR="00373E26" w:rsidRP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vale per i soggetti privati, in particolare gli imprenditori) e</w:t>
      </w:r>
      <w:r w:rsidR="00373E26" w:rsidRP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interdizione perpetua dai pubblici uffici per i pubblici</w:t>
      </w:r>
      <w:r w:rsidR="00373E26" w:rsidRP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uffic</w:t>
      </w:r>
      <w:r w:rsidR="00373E26" w:rsidRPr="00373E26">
        <w:rPr>
          <w:rFonts w:ascii="Arial" w:hAnsi="Arial" w:cs="Arial"/>
        </w:rPr>
        <w:t xml:space="preserve">iali. </w:t>
      </w:r>
    </w:p>
    <w:p w:rsidR="00373E26" w:rsidRPr="00373E26" w:rsidRDefault="00373E26" w:rsidP="00373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2CE6" w:rsidRPr="00373E26" w:rsidRDefault="00802CE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E26">
        <w:rPr>
          <w:rFonts w:ascii="Arial" w:hAnsi="Arial" w:cs="Arial"/>
        </w:rPr>
        <w:t xml:space="preserve"> - AGENTE SOTTO COPERTURA:</w:t>
      </w:r>
      <w:r w:rsidR="00373E26" w:rsidRPr="00373E26">
        <w:rPr>
          <w:rFonts w:ascii="Arial" w:hAnsi="Arial" w:cs="Arial"/>
        </w:rPr>
        <w:br/>
      </w:r>
      <w:r w:rsidRPr="00373E26">
        <w:rPr>
          <w:rFonts w:ascii="Arial" w:hAnsi="Arial" w:cs="Arial"/>
        </w:rPr>
        <w:t>viene introdotta la figura</w:t>
      </w:r>
      <w:r w:rsidR="00373E26" w:rsidRPr="00373E26">
        <w:rPr>
          <w:rFonts w:ascii="Arial" w:hAnsi="Arial" w:cs="Arial"/>
        </w:rPr>
        <w:t xml:space="preserve"> dell'agente “</w:t>
      </w:r>
      <w:r w:rsidRPr="00373E26">
        <w:rPr>
          <w:rFonts w:ascii="Arial" w:hAnsi="Arial" w:cs="Arial"/>
        </w:rPr>
        <w:t>sotto copertura</w:t>
      </w:r>
      <w:r w:rsidR="00373E26" w:rsidRPr="00373E26">
        <w:rPr>
          <w:rFonts w:ascii="Arial" w:hAnsi="Arial" w:cs="Arial"/>
        </w:rPr>
        <w:t>”</w:t>
      </w:r>
      <w:r w:rsidRPr="00373E26">
        <w:rPr>
          <w:rFonts w:ascii="Arial" w:hAnsi="Arial" w:cs="Arial"/>
        </w:rPr>
        <w:t xml:space="preserve"> per i reati di corruzione</w:t>
      </w:r>
      <w:r w:rsidR="00373E26" w:rsidRPr="00373E26">
        <w:rPr>
          <w:rFonts w:ascii="Arial" w:hAnsi="Arial" w:cs="Arial"/>
        </w:rPr>
        <w:t>. L</w:t>
      </w:r>
      <w:r w:rsidRPr="00373E26">
        <w:rPr>
          <w:rFonts w:ascii="Arial" w:hAnsi="Arial" w:cs="Arial"/>
        </w:rPr>
        <w:t>e gi</w:t>
      </w:r>
      <w:r w:rsidR="00373E26" w:rsidRPr="00373E26">
        <w:rPr>
          <w:rFonts w:ascii="Arial" w:hAnsi="Arial" w:cs="Arial"/>
        </w:rPr>
        <w:t>à</w:t>
      </w:r>
      <w:r w:rsidRPr="00373E26">
        <w:rPr>
          <w:rFonts w:ascii="Arial" w:hAnsi="Arial" w:cs="Arial"/>
        </w:rPr>
        <w:t xml:space="preserve"> previste operazioni di</w:t>
      </w:r>
      <w:r w:rsidR="00373E26" w:rsidRP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polizia sotto copertura vengono estese al contrasto di alcun</w:t>
      </w:r>
      <w:r w:rsidR="00373E26" w:rsidRPr="00373E26">
        <w:rPr>
          <w:rFonts w:ascii="Arial" w:hAnsi="Arial" w:cs="Arial"/>
        </w:rPr>
        <w:t xml:space="preserve">i </w:t>
      </w:r>
      <w:r w:rsidRPr="00373E26">
        <w:rPr>
          <w:rFonts w:ascii="Arial" w:hAnsi="Arial" w:cs="Arial"/>
        </w:rPr>
        <w:t>reati contro la pubblica amministrazione. L'agente sotto</w:t>
      </w:r>
      <w:r w:rsidR="00373E26" w:rsidRP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 xml:space="preserve">copertura non </w:t>
      </w:r>
      <w:r w:rsidR="00373E26" w:rsidRPr="00373E26">
        <w:rPr>
          <w:rFonts w:ascii="Arial" w:hAnsi="Arial" w:cs="Arial"/>
        </w:rPr>
        <w:t>è</w:t>
      </w:r>
      <w:r w:rsidRPr="00373E26">
        <w:rPr>
          <w:rFonts w:ascii="Arial" w:hAnsi="Arial" w:cs="Arial"/>
        </w:rPr>
        <w:t xml:space="preserve"> punibile se, al solo fine di acquisire</w:t>
      </w:r>
    </w:p>
    <w:p w:rsidR="00802CE6" w:rsidRPr="00373E26" w:rsidRDefault="00802CE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E26">
        <w:rPr>
          <w:rFonts w:ascii="Arial" w:hAnsi="Arial" w:cs="Arial"/>
        </w:rPr>
        <w:t>elementi di prova, mette in atto condotte che costituirebbero</w:t>
      </w:r>
      <w:r w:rsidR="00373E26" w:rsidRP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reato. Durante l'esame in Aula, per</w:t>
      </w:r>
      <w:r w:rsidR="00373E26" w:rsidRPr="00373E26">
        <w:rPr>
          <w:rFonts w:ascii="Arial" w:hAnsi="Arial" w:cs="Arial"/>
        </w:rPr>
        <w:t>ò</w:t>
      </w:r>
      <w:r w:rsidRPr="00373E26">
        <w:rPr>
          <w:rFonts w:ascii="Arial" w:hAnsi="Arial" w:cs="Arial"/>
        </w:rPr>
        <w:t xml:space="preserve">, </w:t>
      </w:r>
      <w:r w:rsidR="00373E26" w:rsidRPr="00373E26">
        <w:rPr>
          <w:rFonts w:ascii="Arial" w:hAnsi="Arial" w:cs="Arial"/>
        </w:rPr>
        <w:t>è</w:t>
      </w:r>
      <w:r w:rsidRPr="00373E26">
        <w:rPr>
          <w:rFonts w:ascii="Arial" w:hAnsi="Arial" w:cs="Arial"/>
        </w:rPr>
        <w:t xml:space="preserve"> stato raggiunto un</w:t>
      </w:r>
      <w:r w:rsidR="00373E26" w:rsidRP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accordo per escludere dalle cause di impunibilit</w:t>
      </w:r>
      <w:r w:rsidR="00373E26" w:rsidRPr="00373E26">
        <w:rPr>
          <w:rFonts w:ascii="Arial" w:hAnsi="Arial" w:cs="Arial"/>
        </w:rPr>
        <w:t>à</w:t>
      </w:r>
      <w:r w:rsidRPr="00373E26">
        <w:rPr>
          <w:rFonts w:ascii="Arial" w:hAnsi="Arial" w:cs="Arial"/>
        </w:rPr>
        <w:t xml:space="preserve"> l'agente che</w:t>
      </w:r>
    </w:p>
    <w:p w:rsidR="00802CE6" w:rsidRPr="00373E26" w:rsidRDefault="00802CE6" w:rsidP="00373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E26">
        <w:rPr>
          <w:rFonts w:ascii="Arial" w:hAnsi="Arial" w:cs="Arial"/>
        </w:rPr>
        <w:t>ha agito in difformit</w:t>
      </w:r>
      <w:r w:rsidR="00373E26" w:rsidRPr="00373E26">
        <w:rPr>
          <w:rFonts w:ascii="Arial" w:hAnsi="Arial" w:cs="Arial"/>
        </w:rPr>
        <w:t>à</w:t>
      </w:r>
      <w:r w:rsidRPr="00373E26">
        <w:rPr>
          <w:rFonts w:ascii="Arial" w:hAnsi="Arial" w:cs="Arial"/>
        </w:rPr>
        <w:t xml:space="preserve"> dell'autorizzazione o in violazione di</w:t>
      </w:r>
      <w:r w:rsidR="00373E26" w:rsidRP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norme di legge.</w:t>
      </w:r>
    </w:p>
    <w:p w:rsidR="00373E26" w:rsidRPr="00373E26" w:rsidRDefault="00373E26" w:rsidP="00373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2CE6" w:rsidRPr="00373E26" w:rsidRDefault="00802CE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E26">
        <w:rPr>
          <w:rFonts w:ascii="Arial" w:hAnsi="Arial" w:cs="Arial"/>
        </w:rPr>
        <w:t>- STO</w:t>
      </w:r>
      <w:r w:rsidR="00373E26" w:rsidRPr="00373E26">
        <w:rPr>
          <w:rFonts w:ascii="Arial" w:hAnsi="Arial" w:cs="Arial"/>
        </w:rPr>
        <w:t>P PRESCRIZIONE</w:t>
      </w:r>
      <w:r w:rsidRPr="00373E26">
        <w:rPr>
          <w:rFonts w:ascii="Arial" w:hAnsi="Arial" w:cs="Arial"/>
        </w:rPr>
        <w:t xml:space="preserve"> DOPO PRIMO GRADO MA IN VIGORE NEL 2020:</w:t>
      </w:r>
    </w:p>
    <w:p w:rsidR="00802CE6" w:rsidRPr="00373E26" w:rsidRDefault="00802CE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E26">
        <w:rPr>
          <w:rFonts w:ascii="Arial" w:hAnsi="Arial" w:cs="Arial"/>
        </w:rPr>
        <w:t>la</w:t>
      </w:r>
      <w:r w:rsidR="00373E26" w:rsidRP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  <w:bCs/>
        </w:rPr>
        <w:t>prescrizione</w:t>
      </w:r>
      <w:r w:rsidRPr="00373E26">
        <w:rPr>
          <w:rFonts w:ascii="Arial" w:hAnsi="Arial" w:cs="Arial"/>
        </w:rPr>
        <w:t xml:space="preserve"> viene sospesa dalla sentenza di primo grado o dal</w:t>
      </w:r>
      <w:r w:rsid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 xml:space="preserve">decreto di condanna. In sostanza, la </w:t>
      </w:r>
      <w:r w:rsidRPr="00373E26">
        <w:rPr>
          <w:rFonts w:ascii="Arial" w:hAnsi="Arial" w:cs="Arial"/>
          <w:bCs/>
        </w:rPr>
        <w:t>prescrizione</w:t>
      </w:r>
      <w:r w:rsidRPr="00373E26">
        <w:rPr>
          <w:rFonts w:ascii="Arial" w:hAnsi="Arial" w:cs="Arial"/>
        </w:rPr>
        <w:t xml:space="preserve"> non decorre a</w:t>
      </w:r>
      <w:r w:rsid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partire dal primo grado di giudizio, senza fare alcuna</w:t>
      </w:r>
    </w:p>
    <w:p w:rsidR="00802CE6" w:rsidRPr="00373E26" w:rsidRDefault="00373E2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distinzione </w:t>
      </w:r>
      <w:r w:rsidR="00802CE6" w:rsidRPr="00373E26">
        <w:rPr>
          <w:rFonts w:ascii="Arial" w:hAnsi="Arial" w:cs="Arial"/>
        </w:rPr>
        <w:t>tra sentenza di condanna e sentenza di</w:t>
      </w:r>
      <w:r>
        <w:rPr>
          <w:rFonts w:ascii="Arial" w:hAnsi="Arial" w:cs="Arial"/>
        </w:rPr>
        <w:t xml:space="preserve"> </w:t>
      </w:r>
      <w:r w:rsidR="00802CE6" w:rsidRPr="00373E26">
        <w:rPr>
          <w:rFonts w:ascii="Arial" w:hAnsi="Arial" w:cs="Arial"/>
        </w:rPr>
        <w:t xml:space="preserve">assoluzione. </w:t>
      </w:r>
      <w:r>
        <w:rPr>
          <w:rFonts w:ascii="Arial" w:hAnsi="Arial" w:cs="Arial"/>
        </w:rPr>
        <w:t>V</w:t>
      </w:r>
      <w:r w:rsidR="00802CE6" w:rsidRPr="00373E26">
        <w:rPr>
          <w:rFonts w:ascii="Arial" w:hAnsi="Arial" w:cs="Arial"/>
        </w:rPr>
        <w:t>iene</w:t>
      </w:r>
    </w:p>
    <w:p w:rsidR="00802CE6" w:rsidRDefault="00802CE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E26">
        <w:rPr>
          <w:rFonts w:ascii="Arial" w:hAnsi="Arial" w:cs="Arial"/>
        </w:rPr>
        <w:t>stabilito che la riforma entrer</w:t>
      </w:r>
      <w:r w:rsidR="00373E26">
        <w:rPr>
          <w:rFonts w:ascii="Arial" w:hAnsi="Arial" w:cs="Arial"/>
        </w:rPr>
        <w:t>à</w:t>
      </w:r>
      <w:r w:rsidRPr="00373E26">
        <w:rPr>
          <w:rFonts w:ascii="Arial" w:hAnsi="Arial" w:cs="Arial"/>
        </w:rPr>
        <w:t xml:space="preserve"> in vigore dal 1 gennaio 2019.</w:t>
      </w:r>
    </w:p>
    <w:p w:rsidR="00373E26" w:rsidRPr="00373E26" w:rsidRDefault="00373E2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73E26" w:rsidRDefault="00802CE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E26">
        <w:rPr>
          <w:rFonts w:ascii="Arial" w:hAnsi="Arial" w:cs="Arial"/>
        </w:rPr>
        <w:t>- NESSUNA DELEGA A GOVERNO PER RIFORMA PROCESSO PENALE:</w:t>
      </w:r>
    </w:p>
    <w:p w:rsidR="00802CE6" w:rsidRDefault="00802CE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E26">
        <w:rPr>
          <w:rFonts w:ascii="Arial" w:hAnsi="Arial" w:cs="Arial"/>
        </w:rPr>
        <w:t>nel</w:t>
      </w:r>
      <w:r w:rsidR="00373E26">
        <w:rPr>
          <w:rFonts w:ascii="Arial" w:hAnsi="Arial" w:cs="Arial"/>
        </w:rPr>
        <w:t xml:space="preserve"> </w:t>
      </w:r>
      <w:proofErr w:type="spellStart"/>
      <w:r w:rsidRPr="00373E26">
        <w:rPr>
          <w:rFonts w:ascii="Arial" w:hAnsi="Arial" w:cs="Arial"/>
        </w:rPr>
        <w:t>ddl</w:t>
      </w:r>
      <w:proofErr w:type="spellEnd"/>
      <w:r w:rsidRPr="00373E26">
        <w:rPr>
          <w:rFonts w:ascii="Arial" w:hAnsi="Arial" w:cs="Arial"/>
        </w:rPr>
        <w:t xml:space="preserve"> non </w:t>
      </w:r>
      <w:r w:rsidR="00373E26">
        <w:rPr>
          <w:rFonts w:ascii="Arial" w:hAnsi="Arial" w:cs="Arial"/>
        </w:rPr>
        <w:t>è</w:t>
      </w:r>
      <w:r w:rsidRPr="00373E26">
        <w:rPr>
          <w:rFonts w:ascii="Arial" w:hAnsi="Arial" w:cs="Arial"/>
        </w:rPr>
        <w:t xml:space="preserve"> inserit</w:t>
      </w:r>
      <w:r w:rsidR="00373E26">
        <w:rPr>
          <w:rFonts w:ascii="Arial" w:hAnsi="Arial" w:cs="Arial"/>
        </w:rPr>
        <w:t xml:space="preserve">a la più </w:t>
      </w:r>
      <w:r w:rsidRPr="00373E26">
        <w:rPr>
          <w:rFonts w:ascii="Arial" w:hAnsi="Arial" w:cs="Arial"/>
        </w:rPr>
        <w:t>ampia riforma del</w:t>
      </w:r>
      <w:r w:rsid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processo penale, che dovrebbe essere contenuta in una legge</w:t>
      </w:r>
      <w:r w:rsid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delega.</w:t>
      </w:r>
    </w:p>
    <w:p w:rsidR="00373E26" w:rsidRDefault="00373E2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2CE6" w:rsidRPr="00373E26" w:rsidRDefault="00802CE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E26">
        <w:rPr>
          <w:rFonts w:ascii="Arial" w:hAnsi="Arial" w:cs="Arial"/>
        </w:rPr>
        <w:t>RESTITUZIONE DELLE SOMME RICEVUTE E NON</w:t>
      </w:r>
      <w:r w:rsid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DI QUELLE PROMESSE:</w:t>
      </w:r>
      <w:r w:rsidR="00373E26">
        <w:rPr>
          <w:rFonts w:ascii="Arial" w:hAnsi="Arial" w:cs="Arial"/>
        </w:rPr>
        <w:br/>
      </w:r>
      <w:r w:rsidRPr="00373E26">
        <w:rPr>
          <w:rFonts w:ascii="Arial" w:hAnsi="Arial" w:cs="Arial"/>
        </w:rPr>
        <w:t xml:space="preserve">la sospensione condizionale della pena </w:t>
      </w:r>
      <w:r w:rsidR="00373E26">
        <w:rPr>
          <w:rFonts w:ascii="Arial" w:hAnsi="Arial" w:cs="Arial"/>
        </w:rPr>
        <w:t xml:space="preserve">è </w:t>
      </w:r>
      <w:r w:rsidRPr="00373E26">
        <w:rPr>
          <w:rFonts w:ascii="Arial" w:hAnsi="Arial" w:cs="Arial"/>
        </w:rPr>
        <w:t>subordinata alla restituzione dei soldi ricevuti per farsi</w:t>
      </w:r>
    </w:p>
    <w:p w:rsidR="00802CE6" w:rsidRPr="00373E26" w:rsidRDefault="00802CE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E26">
        <w:rPr>
          <w:rFonts w:ascii="Arial" w:hAnsi="Arial" w:cs="Arial"/>
        </w:rPr>
        <w:t>corrompere o dei soldi dati per corrompere, ovvero la somma</w:t>
      </w:r>
      <w:r w:rsid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equivalente al prezzo o al profitto del reato. Il giudice,</w:t>
      </w:r>
      <w:r w:rsid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nella sentenza di condanna per specifici reati contro la</w:t>
      </w:r>
      <w:r w:rsid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Pubblica amministrazione, pu</w:t>
      </w:r>
      <w:r w:rsidR="00373E26">
        <w:rPr>
          <w:rFonts w:ascii="Arial" w:hAnsi="Arial" w:cs="Arial"/>
        </w:rPr>
        <w:t>ò</w:t>
      </w:r>
      <w:r w:rsidRPr="00373E26">
        <w:rPr>
          <w:rFonts w:ascii="Arial" w:hAnsi="Arial" w:cs="Arial"/>
        </w:rPr>
        <w:t xml:space="preserve"> decidere di concedere la</w:t>
      </w:r>
      <w:r w:rsid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sospensione condizionale della pena ma disporre che non estenda</w:t>
      </w:r>
    </w:p>
    <w:p w:rsidR="00802CE6" w:rsidRDefault="00802CE6" w:rsidP="00373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E26">
        <w:rPr>
          <w:rFonts w:ascii="Arial" w:hAnsi="Arial" w:cs="Arial"/>
        </w:rPr>
        <w:t>gli effetti anche all'interdizione dai pubblici uffici e alla</w:t>
      </w:r>
      <w:r w:rsid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incapacit</w:t>
      </w:r>
      <w:r w:rsidR="00373E26">
        <w:rPr>
          <w:rFonts w:ascii="Arial" w:hAnsi="Arial" w:cs="Arial"/>
        </w:rPr>
        <w:t>à</w:t>
      </w:r>
      <w:r w:rsidRPr="00373E26">
        <w:rPr>
          <w:rFonts w:ascii="Arial" w:hAnsi="Arial" w:cs="Arial"/>
        </w:rPr>
        <w:t xml:space="preserve"> di contrattare con la pubblica amministrazione. </w:t>
      </w:r>
    </w:p>
    <w:p w:rsidR="00373E26" w:rsidRDefault="00373E2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2CE6" w:rsidRPr="00373E26" w:rsidRDefault="00802CE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E26">
        <w:rPr>
          <w:rFonts w:ascii="Arial" w:hAnsi="Arial" w:cs="Arial"/>
        </w:rPr>
        <w:t>- NO PENE ALTERNATIVE PER CORROTTI:</w:t>
      </w:r>
      <w:r w:rsidR="00373E26">
        <w:rPr>
          <w:rFonts w:ascii="Arial" w:hAnsi="Arial" w:cs="Arial"/>
        </w:rPr>
        <w:br/>
        <w:t>n</w:t>
      </w:r>
      <w:r w:rsidRPr="00373E26">
        <w:rPr>
          <w:rFonts w:ascii="Arial" w:hAnsi="Arial" w:cs="Arial"/>
        </w:rPr>
        <w:t>on saranno possibili</w:t>
      </w:r>
      <w:r w:rsid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l'assegnazione al lavoro all'esterno, i permessi premio e le</w:t>
      </w:r>
      <w:r w:rsid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misure alternative alla detenzione per i condannati per reati</w:t>
      </w:r>
      <w:r w:rsid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contro la pubblica amministrazione come il peculato, la</w:t>
      </w:r>
    </w:p>
    <w:p w:rsidR="00802CE6" w:rsidRDefault="00802CE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E26">
        <w:rPr>
          <w:rFonts w:ascii="Arial" w:hAnsi="Arial" w:cs="Arial"/>
        </w:rPr>
        <w:t>concussione, la corruzione.</w:t>
      </w:r>
    </w:p>
    <w:p w:rsidR="00373E26" w:rsidRDefault="00373E2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73E26" w:rsidRPr="00373E26" w:rsidRDefault="00802CE6" w:rsidP="00373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E26">
        <w:rPr>
          <w:rFonts w:ascii="Arial" w:hAnsi="Arial" w:cs="Arial"/>
        </w:rPr>
        <w:t>- 'PENTITI' E RAVVEDIMENTO OPEROSO:</w:t>
      </w:r>
      <w:r w:rsidR="00373E26">
        <w:rPr>
          <w:rFonts w:ascii="Arial" w:hAnsi="Arial" w:cs="Arial"/>
        </w:rPr>
        <w:br/>
      </w:r>
      <w:r w:rsidRPr="00373E26">
        <w:rPr>
          <w:rFonts w:ascii="Arial" w:hAnsi="Arial" w:cs="Arial"/>
        </w:rPr>
        <w:t xml:space="preserve">non </w:t>
      </w:r>
      <w:r w:rsidR="00373E26">
        <w:rPr>
          <w:rFonts w:ascii="Arial" w:hAnsi="Arial" w:cs="Arial"/>
        </w:rPr>
        <w:t>è</w:t>
      </w:r>
      <w:r w:rsidRPr="00373E26">
        <w:rPr>
          <w:rFonts w:ascii="Arial" w:hAnsi="Arial" w:cs="Arial"/>
        </w:rPr>
        <w:t xml:space="preserve"> punibile chi si</w:t>
      </w:r>
      <w:r w:rsid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 xml:space="preserve">ravvede, si autodenuncia e collabora con la </w:t>
      </w:r>
      <w:r w:rsidRPr="00373E26">
        <w:rPr>
          <w:rFonts w:ascii="Arial" w:hAnsi="Arial" w:cs="Arial"/>
          <w:bCs/>
        </w:rPr>
        <w:t>giustizia</w:t>
      </w:r>
      <w:r w:rsidRPr="00373E26">
        <w:rPr>
          <w:rFonts w:ascii="Arial" w:hAnsi="Arial" w:cs="Arial"/>
        </w:rPr>
        <w:t>. Ma il</w:t>
      </w:r>
      <w:r w:rsid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ravvedimento deve avvenire entro 4 mesi dalla commissione del</w:t>
      </w:r>
      <w:r w:rsid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 xml:space="preserve">reato. Da questa norma </w:t>
      </w:r>
      <w:r w:rsidR="00373E26">
        <w:rPr>
          <w:rFonts w:ascii="Arial" w:hAnsi="Arial" w:cs="Arial"/>
        </w:rPr>
        <w:t>è</w:t>
      </w:r>
      <w:r w:rsidRPr="00373E26">
        <w:rPr>
          <w:rFonts w:ascii="Arial" w:hAnsi="Arial" w:cs="Arial"/>
        </w:rPr>
        <w:t xml:space="preserve"> stato escluso il reato di traffico di</w:t>
      </w:r>
      <w:r w:rsid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influenze illecite</w:t>
      </w:r>
      <w:r w:rsidR="00373E26">
        <w:rPr>
          <w:rFonts w:ascii="Arial" w:hAnsi="Arial" w:cs="Arial"/>
        </w:rPr>
        <w:t>.</w:t>
      </w:r>
    </w:p>
    <w:p w:rsidR="00802CE6" w:rsidRPr="00373E26" w:rsidRDefault="00802CE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73E26" w:rsidRDefault="00802CE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E26">
        <w:rPr>
          <w:rFonts w:ascii="Arial" w:hAnsi="Arial" w:cs="Arial"/>
        </w:rPr>
        <w:t>- 'SALVA-SINDACI':</w:t>
      </w:r>
      <w:r w:rsidR="00373E26">
        <w:rPr>
          <w:rFonts w:ascii="Arial" w:hAnsi="Arial" w:cs="Arial"/>
        </w:rPr>
        <w:br/>
        <w:t>è</w:t>
      </w:r>
      <w:r w:rsidRPr="00373E26">
        <w:rPr>
          <w:rFonts w:ascii="Arial" w:hAnsi="Arial" w:cs="Arial"/>
        </w:rPr>
        <w:t xml:space="preserve"> stato escluso l'abuso d'ufficio</w:t>
      </w:r>
      <w:r w:rsid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aggravato dall'elenco dei reati per i quali si prevede</w:t>
      </w:r>
      <w:r w:rsid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l'incapacit</w:t>
      </w:r>
      <w:r w:rsidR="00373E26">
        <w:rPr>
          <w:rFonts w:ascii="Arial" w:hAnsi="Arial" w:cs="Arial"/>
        </w:rPr>
        <w:t>à</w:t>
      </w:r>
      <w:r w:rsidRPr="00373E26">
        <w:rPr>
          <w:rFonts w:ascii="Arial" w:hAnsi="Arial" w:cs="Arial"/>
        </w:rPr>
        <w:t xml:space="preserve"> di contrattare con la pubblica amministrazione.</w:t>
      </w:r>
    </w:p>
    <w:p w:rsidR="00373E26" w:rsidRDefault="00373E2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2CE6" w:rsidRPr="00373E26" w:rsidRDefault="00802CE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E26">
        <w:rPr>
          <w:rFonts w:ascii="Arial" w:hAnsi="Arial" w:cs="Arial"/>
        </w:rPr>
        <w:t>- RIABILITAZIONE PIU' BREVE:</w:t>
      </w:r>
      <w:r w:rsidR="00373E26">
        <w:rPr>
          <w:rFonts w:ascii="Arial" w:hAnsi="Arial" w:cs="Arial"/>
        </w:rPr>
        <w:br/>
        <w:t>s</w:t>
      </w:r>
      <w:r w:rsidRPr="00373E26">
        <w:rPr>
          <w:rFonts w:ascii="Arial" w:hAnsi="Arial" w:cs="Arial"/>
        </w:rPr>
        <w:t>i accorciano i tempi per i</w:t>
      </w:r>
      <w:r w:rsid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corrotti per poter ottenere la riabilitazione. Si passa da 12 a</w:t>
      </w:r>
      <w:r w:rsid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 xml:space="preserve">7 anni. </w:t>
      </w:r>
      <w:r w:rsidR="00373E26">
        <w:rPr>
          <w:rFonts w:ascii="Arial" w:hAnsi="Arial" w:cs="Arial"/>
        </w:rPr>
        <w:t>T</w:t>
      </w:r>
      <w:r w:rsidRPr="00373E26">
        <w:rPr>
          <w:rFonts w:ascii="Arial" w:hAnsi="Arial" w:cs="Arial"/>
        </w:rPr>
        <w:t>uttavia, la riabilitazione non ha effetto sulle pene</w:t>
      </w:r>
      <w:r w:rsid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accessorie perpetue. La dichiarazione di estinzione della pena</w:t>
      </w:r>
      <w:r w:rsidR="00373E2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accessoria perpetua avviene quando sia decorso un termine di</w:t>
      </w:r>
    </w:p>
    <w:p w:rsidR="00802CE6" w:rsidRDefault="00802CE6" w:rsidP="00E06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E26">
        <w:rPr>
          <w:rFonts w:ascii="Arial" w:hAnsi="Arial" w:cs="Arial"/>
        </w:rPr>
        <w:lastRenderedPageBreak/>
        <w:t>almeno sette anni e il condannato abbia dato prove effettive e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costanti di buona condotta.</w:t>
      </w:r>
    </w:p>
    <w:p w:rsidR="00E06356" w:rsidRPr="00373E26" w:rsidRDefault="00E06356" w:rsidP="00E06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2CE6" w:rsidRPr="00373E26" w:rsidRDefault="00802CE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E26">
        <w:rPr>
          <w:rFonts w:ascii="Arial" w:hAnsi="Arial" w:cs="Arial"/>
        </w:rPr>
        <w:t>- UTILIZZO DI TROJAN PER LE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INTERCETTAZIONI:</w:t>
      </w:r>
      <w:r w:rsidR="00E06356">
        <w:rPr>
          <w:rFonts w:ascii="Arial" w:hAnsi="Arial" w:cs="Arial"/>
        </w:rPr>
        <w:br/>
      </w:r>
      <w:r w:rsidRPr="00373E26">
        <w:rPr>
          <w:rFonts w:ascii="Arial" w:hAnsi="Arial" w:cs="Arial"/>
        </w:rPr>
        <w:t>si potranno intercettare le comunicazioni tra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presenti nelle abitazioni o in altri luoghi di privata dimora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 xml:space="preserve">attraverso i cosiddetti </w:t>
      </w:r>
      <w:proofErr w:type="spellStart"/>
      <w:r w:rsidRPr="00373E26">
        <w:rPr>
          <w:rFonts w:ascii="Arial" w:hAnsi="Arial" w:cs="Arial"/>
        </w:rPr>
        <w:t>trojan</w:t>
      </w:r>
      <w:proofErr w:type="spellEnd"/>
      <w:r w:rsidRPr="00373E26">
        <w:rPr>
          <w:rFonts w:ascii="Arial" w:hAnsi="Arial" w:cs="Arial"/>
        </w:rPr>
        <w:t>. Viene abrogata infatti la norma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che ne limitava l'uso solo quando vi era motivo di ritenere in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corso l'attivit</w:t>
      </w:r>
      <w:r w:rsidR="00E06356">
        <w:rPr>
          <w:rFonts w:ascii="Arial" w:hAnsi="Arial" w:cs="Arial"/>
        </w:rPr>
        <w:t>à</w:t>
      </w:r>
      <w:r w:rsidRPr="00373E26">
        <w:rPr>
          <w:rFonts w:ascii="Arial" w:hAnsi="Arial" w:cs="Arial"/>
        </w:rPr>
        <w:t xml:space="preserve"> criminosa. I </w:t>
      </w:r>
      <w:proofErr w:type="spellStart"/>
      <w:r w:rsidRPr="00373E26">
        <w:rPr>
          <w:rFonts w:ascii="Arial" w:hAnsi="Arial" w:cs="Arial"/>
        </w:rPr>
        <w:t>trojan</w:t>
      </w:r>
      <w:proofErr w:type="spellEnd"/>
      <w:r w:rsidRPr="00373E26">
        <w:rPr>
          <w:rFonts w:ascii="Arial" w:hAnsi="Arial" w:cs="Arial"/>
        </w:rPr>
        <w:t xml:space="preserve"> potranno essere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utilizzati sui dispositivi elettronici portatili anche nei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procedimenti per delitti contro la pubblica amministrazione</w:t>
      </w:r>
    </w:p>
    <w:p w:rsidR="00802CE6" w:rsidRDefault="00802CE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E26">
        <w:rPr>
          <w:rFonts w:ascii="Arial" w:hAnsi="Arial" w:cs="Arial"/>
        </w:rPr>
        <w:t>puniti con la pena della reclusione non inferiore nel massimo a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cinque anni.</w:t>
      </w:r>
    </w:p>
    <w:p w:rsidR="00E06356" w:rsidRPr="00373E26" w:rsidRDefault="00E0635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2CE6" w:rsidRPr="00373E26" w:rsidRDefault="00802CE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E26">
        <w:rPr>
          <w:rFonts w:ascii="Arial" w:hAnsi="Arial" w:cs="Arial"/>
        </w:rPr>
        <w:t>- TRASPARENZA SU SOLDI MA 'SALVE' FESTE DI PARTITO:</w:t>
      </w:r>
      <w:r w:rsidR="00E06356">
        <w:rPr>
          <w:rFonts w:ascii="Arial" w:hAnsi="Arial" w:cs="Arial"/>
        </w:rPr>
        <w:br/>
      </w:r>
      <w:r w:rsidRPr="00373E26">
        <w:rPr>
          <w:rFonts w:ascii="Arial" w:hAnsi="Arial" w:cs="Arial"/>
        </w:rPr>
        <w:t>stretta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sulle donazioni ai partiti e movimenti politici. Ogni donazione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che supera i 500 euro annui deve essere trasparente e, quindi,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il nome del soggetto che effettua la donazione deve essere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pubblicato on line. Ma sono escluse tutte quelle attivit</w:t>
      </w:r>
      <w:r w:rsidR="00E06356">
        <w:rPr>
          <w:rFonts w:ascii="Arial" w:hAnsi="Arial" w:cs="Arial"/>
        </w:rPr>
        <w:t>à</w:t>
      </w:r>
      <w:r w:rsidRPr="00373E26">
        <w:rPr>
          <w:rFonts w:ascii="Arial" w:hAnsi="Arial" w:cs="Arial"/>
        </w:rPr>
        <w:t xml:space="preserve"> "a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contenuto non commerciale, professionale, o di lavoro autonomo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di sostegno volontario all'organizzazione e alle iniziative del</w:t>
      </w:r>
    </w:p>
    <w:p w:rsidR="00802CE6" w:rsidRDefault="00802CE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E26">
        <w:rPr>
          <w:rFonts w:ascii="Arial" w:hAnsi="Arial" w:cs="Arial"/>
        </w:rPr>
        <w:t>partito o del movimento politico". Dunque, dovranno essere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pubblicati e resi noti i nomi dei donatori che versano pi</w:t>
      </w:r>
      <w:r w:rsidR="00E06356">
        <w:rPr>
          <w:rFonts w:ascii="Arial" w:hAnsi="Arial" w:cs="Arial"/>
        </w:rPr>
        <w:t>ù</w:t>
      </w:r>
      <w:r w:rsidRPr="00373E26">
        <w:rPr>
          <w:rFonts w:ascii="Arial" w:hAnsi="Arial" w:cs="Arial"/>
        </w:rPr>
        <w:t xml:space="preserve"> di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500 euro complessivi all'anno. Inoltre, l'obbligo viene esteso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alle liste o ai candidati a sindaco dei comuni superiori ai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15mila abitanti. E' vietato ricevere contributi, prestazioni o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altre forme di sostegno provenienti da governi o enti pubblici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di Stati esteri e da persone giuridiche aventi sede in uno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Stato estero.</w:t>
      </w:r>
    </w:p>
    <w:p w:rsidR="00E06356" w:rsidRPr="00373E26" w:rsidRDefault="00E0635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2CE6" w:rsidRDefault="00802CE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E26">
        <w:rPr>
          <w:rFonts w:ascii="Arial" w:hAnsi="Arial" w:cs="Arial"/>
        </w:rPr>
        <w:t>- STRETTA SU DICHIARAZIONE REDDITI PARLAMENTARI E GOVERNO:</w:t>
      </w:r>
      <w:r w:rsidR="00E06356">
        <w:rPr>
          <w:rFonts w:ascii="Arial" w:hAnsi="Arial" w:cs="Arial"/>
        </w:rPr>
        <w:br/>
        <w:t>n</w:t>
      </w:r>
      <w:r w:rsidRPr="00373E26">
        <w:rPr>
          <w:rFonts w:ascii="Arial" w:hAnsi="Arial" w:cs="Arial"/>
        </w:rPr>
        <w:t>orme pi</w:t>
      </w:r>
      <w:r w:rsidR="00E06356">
        <w:rPr>
          <w:rFonts w:ascii="Arial" w:hAnsi="Arial" w:cs="Arial"/>
        </w:rPr>
        <w:t>ù</w:t>
      </w:r>
      <w:r w:rsidRPr="00373E26">
        <w:rPr>
          <w:rFonts w:ascii="Arial" w:hAnsi="Arial" w:cs="Arial"/>
        </w:rPr>
        <w:t xml:space="preserve"> stringenti sulle dichiarazioni dei redditi di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parlamentari, esponenti del governo e tesorieri di partito, che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dovranno rendere pubbliche tutte le donazioni ricevute di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importo annuo superiore a 500 euro (anzich</w:t>
      </w:r>
      <w:r w:rsidR="00E06356">
        <w:rPr>
          <w:rFonts w:ascii="Arial" w:hAnsi="Arial" w:cs="Arial"/>
        </w:rPr>
        <w:t>é</w:t>
      </w:r>
      <w:r w:rsidRPr="00373E26">
        <w:rPr>
          <w:rFonts w:ascii="Arial" w:hAnsi="Arial" w:cs="Arial"/>
        </w:rPr>
        <w:t xml:space="preserve"> 5.000, come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previsto dalla legge vigente), ricevuto direttamente o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attraverso comitati di sostegno; n</w:t>
      </w:r>
      <w:r w:rsidR="00E06356">
        <w:rPr>
          <w:rFonts w:ascii="Arial" w:hAnsi="Arial" w:cs="Arial"/>
        </w:rPr>
        <w:t>é</w:t>
      </w:r>
      <w:r w:rsidRPr="00373E26">
        <w:rPr>
          <w:rFonts w:ascii="Arial" w:hAnsi="Arial" w:cs="Arial"/>
        </w:rPr>
        <w:t xml:space="preserve"> deve essere al contempo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data evidenza nel sito internet del Parlamento italiano. Viene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inoltre abbassato a 3.000 euro (rispetto a 5.000 euro, come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previsto dalla normativa vigente) il tetto annuo di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 xml:space="preserve">finanziamento o contribuzione al raggiungimento del quale </w:t>
      </w:r>
      <w:r w:rsidR="00E06356">
        <w:rPr>
          <w:rFonts w:ascii="Arial" w:hAnsi="Arial" w:cs="Arial"/>
        </w:rPr>
        <w:t xml:space="preserve">è </w:t>
      </w:r>
      <w:r w:rsidRPr="00373E26">
        <w:rPr>
          <w:rFonts w:ascii="Arial" w:hAnsi="Arial" w:cs="Arial"/>
        </w:rPr>
        <w:t>previsto l'obbligo di sottoscrivere una dichiarazione congiunta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tra il soggetto erogante ed il beneficiario.</w:t>
      </w:r>
    </w:p>
    <w:p w:rsidR="00E06356" w:rsidRPr="00373E26" w:rsidRDefault="00E0635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06356" w:rsidRDefault="00802CE6" w:rsidP="00E06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E26">
        <w:rPr>
          <w:rFonts w:ascii="Arial" w:hAnsi="Arial" w:cs="Arial"/>
        </w:rPr>
        <w:t>- GIRO DI VITE SU FONDAZIONI:</w:t>
      </w:r>
      <w:r w:rsidR="00E06356">
        <w:rPr>
          <w:rFonts w:ascii="Arial" w:hAnsi="Arial" w:cs="Arial"/>
        </w:rPr>
        <w:br/>
        <w:t>n</w:t>
      </w:r>
      <w:r w:rsidRPr="00373E26">
        <w:rPr>
          <w:rFonts w:ascii="Arial" w:hAnsi="Arial" w:cs="Arial"/>
        </w:rPr>
        <w:t>orme pi</w:t>
      </w:r>
      <w:r w:rsidR="00E06356">
        <w:rPr>
          <w:rFonts w:ascii="Arial" w:hAnsi="Arial" w:cs="Arial"/>
        </w:rPr>
        <w:t>ù</w:t>
      </w:r>
      <w:r w:rsidRPr="00373E26">
        <w:rPr>
          <w:rFonts w:ascii="Arial" w:hAnsi="Arial" w:cs="Arial"/>
        </w:rPr>
        <w:t xml:space="preserve"> stringenti per le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fondazioni, che vengono equiparate ai partiti politici e,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quindi, sottoposte agli stessi obblighi sulla trasparenza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 xml:space="preserve">validi per i partiti e i movimenti politici. </w:t>
      </w:r>
    </w:p>
    <w:p w:rsidR="00802CE6" w:rsidRPr="00373E26" w:rsidRDefault="00802CE6" w:rsidP="0080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2CE6" w:rsidRPr="00373E26" w:rsidRDefault="00802CE6" w:rsidP="00E06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E26">
        <w:rPr>
          <w:rFonts w:ascii="Arial" w:hAnsi="Arial" w:cs="Arial"/>
        </w:rPr>
        <w:t>- STOP SOLDI COOP A PARTITI:</w:t>
      </w:r>
      <w:r w:rsidR="00E06356">
        <w:rPr>
          <w:rFonts w:ascii="Arial" w:hAnsi="Arial" w:cs="Arial"/>
        </w:rPr>
        <w:br/>
        <w:t>l</w:t>
      </w:r>
      <w:r w:rsidRPr="00373E26">
        <w:rPr>
          <w:rFonts w:ascii="Arial" w:hAnsi="Arial" w:cs="Arial"/>
        </w:rPr>
        <w:t>e cooperative non potranno</w:t>
      </w:r>
      <w:r w:rsidR="00E06356">
        <w:rPr>
          <w:rFonts w:ascii="Arial" w:hAnsi="Arial" w:cs="Arial"/>
        </w:rPr>
        <w:t xml:space="preserve"> </w:t>
      </w:r>
      <w:r w:rsidRPr="00373E26">
        <w:rPr>
          <w:rFonts w:ascii="Arial" w:hAnsi="Arial" w:cs="Arial"/>
        </w:rPr>
        <w:t>pi</w:t>
      </w:r>
      <w:r w:rsidR="00E06356">
        <w:rPr>
          <w:rFonts w:ascii="Arial" w:hAnsi="Arial" w:cs="Arial"/>
        </w:rPr>
        <w:t xml:space="preserve">ù </w:t>
      </w:r>
      <w:r w:rsidRPr="00373E26">
        <w:rPr>
          <w:rFonts w:ascii="Arial" w:hAnsi="Arial" w:cs="Arial"/>
        </w:rPr>
        <w:t>finanziare i partiti politici.</w:t>
      </w:r>
    </w:p>
    <w:p w:rsidR="00802CE6" w:rsidRPr="00373E26" w:rsidRDefault="00802CE6">
      <w:pPr>
        <w:rPr>
          <w:rFonts w:ascii="Arial" w:hAnsi="Arial" w:cs="Arial"/>
        </w:rPr>
      </w:pPr>
    </w:p>
    <w:sectPr w:rsidR="00802CE6" w:rsidRPr="00373E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E6"/>
    <w:rsid w:val="00373E26"/>
    <w:rsid w:val="00444B4E"/>
    <w:rsid w:val="00802CE6"/>
    <w:rsid w:val="0093127D"/>
    <w:rsid w:val="00B02070"/>
    <w:rsid w:val="00E0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Filipponi</dc:creator>
  <cp:lastModifiedBy>Antonella Barone</cp:lastModifiedBy>
  <cp:revision>2</cp:revision>
  <dcterms:created xsi:type="dcterms:W3CDTF">2018-11-23T16:41:00Z</dcterms:created>
  <dcterms:modified xsi:type="dcterms:W3CDTF">2018-11-23T16:41:00Z</dcterms:modified>
</cp:coreProperties>
</file>